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B30E" w14:textId="77777777" w:rsidR="00772941" w:rsidRDefault="00772941" w:rsidP="00985BA8">
      <w:pPr>
        <w:rPr>
          <w:b/>
          <w:bCs/>
          <w:sz w:val="22"/>
          <w:szCs w:val="22"/>
        </w:rPr>
      </w:pPr>
    </w:p>
    <w:p w14:paraId="5DB0EE58" w14:textId="11A86ED6" w:rsidR="00985BA8" w:rsidRPr="00985BA8" w:rsidRDefault="00985BA8" w:rsidP="00985BA8">
      <w:pPr>
        <w:rPr>
          <w:sz w:val="22"/>
          <w:szCs w:val="22"/>
        </w:rPr>
      </w:pPr>
      <w:r w:rsidRPr="00985BA8">
        <w:rPr>
          <w:b/>
          <w:bCs/>
          <w:sz w:val="22"/>
          <w:szCs w:val="22"/>
        </w:rPr>
        <w:t xml:space="preserve">Dates: </w:t>
      </w:r>
      <w:r w:rsidRPr="00985BA8">
        <w:rPr>
          <w:sz w:val="22"/>
          <w:szCs w:val="22"/>
        </w:rPr>
        <w:t xml:space="preserve">1–5 November 2026 | </w:t>
      </w:r>
      <w:r w:rsidRPr="00985BA8">
        <w:rPr>
          <w:b/>
          <w:bCs/>
          <w:sz w:val="22"/>
          <w:szCs w:val="22"/>
        </w:rPr>
        <w:t>Location</w:t>
      </w:r>
      <w:r w:rsidRPr="00985BA8">
        <w:rPr>
          <w:sz w:val="22"/>
          <w:szCs w:val="22"/>
        </w:rPr>
        <w:t>: Margaret River, WA</w:t>
      </w:r>
    </w:p>
    <w:p w14:paraId="67B49FA6" w14:textId="110E292D" w:rsidR="00985BA8" w:rsidRPr="00985BA8" w:rsidRDefault="005F1B4E" w:rsidP="00985BA8">
      <w:pPr>
        <w:rPr>
          <w:b/>
          <w:bCs/>
          <w:sz w:val="22"/>
          <w:szCs w:val="22"/>
        </w:rPr>
      </w:pPr>
      <w:r w:rsidRPr="00B1384B">
        <w:rPr>
          <w:b/>
          <w:bCs/>
          <w:sz w:val="22"/>
          <w:szCs w:val="22"/>
        </w:rPr>
        <w:t>Target Audience</w:t>
      </w:r>
      <w:r w:rsidR="00985BA8" w:rsidRPr="00985BA8">
        <w:rPr>
          <w:b/>
          <w:bCs/>
          <w:sz w:val="22"/>
          <w:szCs w:val="22"/>
        </w:rPr>
        <w:t xml:space="preserve">: </w:t>
      </w:r>
      <w:r w:rsidR="00985BA8" w:rsidRPr="00985BA8">
        <w:rPr>
          <w:sz w:val="22"/>
          <w:szCs w:val="22"/>
        </w:rPr>
        <w:t xml:space="preserve">Doctors, psychologists, nurses, and allied health working in </w:t>
      </w:r>
      <w:r w:rsidR="00BA7120" w:rsidRPr="00B1384B">
        <w:rPr>
          <w:sz w:val="22"/>
          <w:szCs w:val="22"/>
        </w:rPr>
        <w:t>high-</w:t>
      </w:r>
      <w:r w:rsidR="00C0012E">
        <w:rPr>
          <w:sz w:val="22"/>
          <w:szCs w:val="22"/>
        </w:rPr>
        <w:t>acuity</w:t>
      </w:r>
      <w:r w:rsidR="00F2455F" w:rsidRPr="00B1384B">
        <w:rPr>
          <w:sz w:val="22"/>
          <w:szCs w:val="22"/>
        </w:rPr>
        <w:t xml:space="preserve"> health</w:t>
      </w:r>
      <w:r w:rsidR="00BA7120" w:rsidRPr="00B1384B">
        <w:rPr>
          <w:sz w:val="22"/>
          <w:szCs w:val="22"/>
        </w:rPr>
        <w:t>care</w:t>
      </w:r>
      <w:r w:rsidR="00985BA8" w:rsidRPr="00985BA8">
        <w:rPr>
          <w:sz w:val="22"/>
          <w:szCs w:val="22"/>
        </w:rPr>
        <w:t xml:space="preserve"> systems</w:t>
      </w:r>
    </w:p>
    <w:p w14:paraId="3E48B368" w14:textId="709BCF30" w:rsidR="00985BA8" w:rsidRPr="00B1384B" w:rsidRDefault="00985BA8" w:rsidP="00985BA8">
      <w:pPr>
        <w:spacing w:after="0" w:line="240" w:lineRule="auto"/>
        <w:rPr>
          <w:sz w:val="22"/>
          <w:szCs w:val="22"/>
        </w:rPr>
      </w:pPr>
      <w:r w:rsidRPr="00985BA8">
        <w:rPr>
          <w:b/>
          <w:bCs/>
          <w:sz w:val="22"/>
          <w:szCs w:val="22"/>
        </w:rPr>
        <w:t xml:space="preserve">Facilitator: </w:t>
      </w:r>
      <w:r w:rsidRPr="00985BA8">
        <w:rPr>
          <w:sz w:val="22"/>
          <w:szCs w:val="22"/>
        </w:rPr>
        <w:t>Dr Ali</w:t>
      </w:r>
      <w:r w:rsidRPr="00B1384B">
        <w:rPr>
          <w:sz w:val="22"/>
          <w:szCs w:val="22"/>
        </w:rPr>
        <w:t>ce</w:t>
      </w:r>
      <w:r w:rsidRPr="00985BA8">
        <w:rPr>
          <w:sz w:val="22"/>
          <w:szCs w:val="22"/>
        </w:rPr>
        <w:t xml:space="preserve"> Morgan, Clinical Psychologist</w:t>
      </w:r>
      <w:r w:rsidRPr="00B1384B">
        <w:rPr>
          <w:sz w:val="22"/>
          <w:szCs w:val="22"/>
        </w:rPr>
        <w:t xml:space="preserve"> </w:t>
      </w:r>
      <w:r w:rsidR="001940C2">
        <w:rPr>
          <w:sz w:val="22"/>
          <w:szCs w:val="22"/>
        </w:rPr>
        <w:t xml:space="preserve">(DPsychClin) </w:t>
      </w:r>
      <w:r w:rsidRPr="00B1384B">
        <w:rPr>
          <w:sz w:val="22"/>
          <w:szCs w:val="22"/>
        </w:rPr>
        <w:t xml:space="preserve">+ </w:t>
      </w:r>
      <w:r w:rsidR="00F2455F" w:rsidRPr="00B1384B">
        <w:rPr>
          <w:sz w:val="22"/>
          <w:szCs w:val="22"/>
        </w:rPr>
        <w:t>Master of Public Health</w:t>
      </w:r>
      <w:r w:rsidRPr="00B1384B">
        <w:rPr>
          <w:sz w:val="22"/>
          <w:szCs w:val="22"/>
        </w:rPr>
        <w:t xml:space="preserve"> </w:t>
      </w:r>
    </w:p>
    <w:p w14:paraId="175DA2E9" w14:textId="738B0E14" w:rsidR="00985BA8" w:rsidRPr="00985BA8" w:rsidRDefault="00985BA8" w:rsidP="00985BA8">
      <w:pPr>
        <w:spacing w:after="0" w:line="240" w:lineRule="auto"/>
        <w:rPr>
          <w:b/>
          <w:bCs/>
          <w:sz w:val="22"/>
          <w:szCs w:val="22"/>
        </w:rPr>
      </w:pPr>
      <w:r w:rsidRPr="00985BA8">
        <w:rPr>
          <w:sz w:val="22"/>
          <w:szCs w:val="22"/>
        </w:rPr>
        <w:t>20</w:t>
      </w:r>
      <w:r w:rsidR="00B0001F">
        <w:rPr>
          <w:sz w:val="22"/>
          <w:szCs w:val="22"/>
        </w:rPr>
        <w:t xml:space="preserve"> </w:t>
      </w:r>
      <w:r w:rsidRPr="00985BA8">
        <w:rPr>
          <w:sz w:val="22"/>
          <w:szCs w:val="22"/>
        </w:rPr>
        <w:t xml:space="preserve">years </w:t>
      </w:r>
      <w:r w:rsidRPr="00B1384B">
        <w:rPr>
          <w:sz w:val="22"/>
          <w:szCs w:val="22"/>
        </w:rPr>
        <w:t xml:space="preserve">of public </w:t>
      </w:r>
      <w:r w:rsidRPr="00985BA8">
        <w:rPr>
          <w:sz w:val="22"/>
          <w:szCs w:val="22"/>
        </w:rPr>
        <w:t>hospital</w:t>
      </w:r>
      <w:r w:rsidR="001940C2">
        <w:rPr>
          <w:sz w:val="22"/>
          <w:szCs w:val="22"/>
        </w:rPr>
        <w:t>/</w:t>
      </w:r>
      <w:r w:rsidR="003F7575">
        <w:rPr>
          <w:sz w:val="22"/>
          <w:szCs w:val="22"/>
        </w:rPr>
        <w:t>MDTs</w:t>
      </w:r>
      <w:r w:rsidR="001940C2">
        <w:rPr>
          <w:sz w:val="22"/>
          <w:szCs w:val="22"/>
        </w:rPr>
        <w:t>/</w:t>
      </w:r>
      <w:r w:rsidR="003F7575">
        <w:rPr>
          <w:sz w:val="22"/>
          <w:szCs w:val="22"/>
        </w:rPr>
        <w:t>L</w:t>
      </w:r>
      <w:r w:rsidR="001940C2">
        <w:rPr>
          <w:sz w:val="22"/>
          <w:szCs w:val="22"/>
        </w:rPr>
        <w:t>eadership |</w:t>
      </w:r>
      <w:r w:rsidRPr="00B1384B">
        <w:rPr>
          <w:sz w:val="22"/>
          <w:szCs w:val="22"/>
        </w:rPr>
        <w:t xml:space="preserve"> Clinical Supervisor</w:t>
      </w:r>
      <w:r w:rsidR="001940C2">
        <w:rPr>
          <w:sz w:val="22"/>
          <w:szCs w:val="22"/>
        </w:rPr>
        <w:t xml:space="preserve"> | WHO consultant</w:t>
      </w:r>
      <w:r w:rsidR="00DA26E3">
        <w:rPr>
          <w:sz w:val="22"/>
          <w:szCs w:val="22"/>
        </w:rPr>
        <w:t xml:space="preserve"> | University Lecturer</w:t>
      </w:r>
      <w:r w:rsidR="0099434B">
        <w:rPr>
          <w:sz w:val="22"/>
          <w:szCs w:val="22"/>
        </w:rPr>
        <w:t xml:space="preserve"> | Post graduate study (thesis) in Vicarious Trauma in Hospital Staff</w:t>
      </w:r>
      <w:r w:rsidR="0085280A">
        <w:rPr>
          <w:sz w:val="22"/>
          <w:szCs w:val="22"/>
        </w:rPr>
        <w:t xml:space="preserve"> | COVID-19 Staff Support</w:t>
      </w:r>
    </w:p>
    <w:p w14:paraId="2FB6A0BA" w14:textId="77777777" w:rsidR="00985BA8" w:rsidRPr="00B1384B" w:rsidRDefault="00985BA8" w:rsidP="00985BA8">
      <w:pPr>
        <w:rPr>
          <w:b/>
          <w:bCs/>
          <w:color w:val="996633"/>
          <w:sz w:val="22"/>
          <w:szCs w:val="22"/>
        </w:rPr>
      </w:pPr>
    </w:p>
    <w:p w14:paraId="65CBED4B" w14:textId="77777777" w:rsidR="00F2455F" w:rsidRPr="00F2455F" w:rsidRDefault="00F2455F" w:rsidP="04023483">
      <w:pPr>
        <w:rPr>
          <w:b/>
          <w:bCs/>
          <w:sz w:val="26"/>
          <w:szCs w:val="26"/>
        </w:rPr>
      </w:pPr>
      <w:r w:rsidRPr="04023483">
        <w:rPr>
          <w:b/>
          <w:bCs/>
          <w:sz w:val="26"/>
          <w:szCs w:val="26"/>
        </w:rPr>
        <w:t>Why This Retreat?</w:t>
      </w:r>
    </w:p>
    <w:p w14:paraId="67B5887F" w14:textId="319D676D" w:rsidR="005E6CB0" w:rsidRPr="005E6CB0" w:rsidRDefault="0068783F" w:rsidP="005E6CB0">
      <w:pPr>
        <w:rPr>
          <w:sz w:val="22"/>
          <w:szCs w:val="22"/>
        </w:rPr>
      </w:pPr>
      <w:r w:rsidRPr="00F2455F">
        <w:rPr>
          <w:i/>
          <w:iCs/>
          <w:sz w:val="22"/>
          <w:szCs w:val="22"/>
        </w:rPr>
        <w:t>Resilience in Practice</w:t>
      </w:r>
      <w:r w:rsidRPr="00F2455F">
        <w:rPr>
          <w:sz w:val="22"/>
          <w:szCs w:val="22"/>
        </w:rPr>
        <w:t xml:space="preserve"> is a small-group,</w:t>
      </w:r>
      <w:r w:rsidRPr="00B1384B">
        <w:rPr>
          <w:sz w:val="22"/>
          <w:szCs w:val="22"/>
        </w:rPr>
        <w:t xml:space="preserve"> clinically grounded</w:t>
      </w:r>
      <w:r w:rsidR="005D2BE6">
        <w:rPr>
          <w:sz w:val="22"/>
          <w:szCs w:val="22"/>
        </w:rPr>
        <w:t xml:space="preserve"> resilience</w:t>
      </w:r>
      <w:r w:rsidRPr="00B1384B">
        <w:rPr>
          <w:sz w:val="22"/>
          <w:szCs w:val="22"/>
        </w:rPr>
        <w:t xml:space="preserve"> immersion.  </w:t>
      </w:r>
      <w:r w:rsidR="005E6CB0" w:rsidRPr="005E6CB0">
        <w:rPr>
          <w:sz w:val="22"/>
          <w:szCs w:val="22"/>
        </w:rPr>
        <w:t>Healthcare professionals face ongoing responsibility, emotional load, time pressure and system constraints that can contribute to burnout, moral distress, vicarious trauma and cumulative stress.</w:t>
      </w:r>
      <w:r w:rsidR="005D2BE6">
        <w:rPr>
          <w:sz w:val="22"/>
          <w:szCs w:val="22"/>
        </w:rPr>
        <w:t xml:space="preserve">  </w:t>
      </w:r>
      <w:r w:rsidR="005E6CB0" w:rsidRPr="005E6CB0">
        <w:rPr>
          <w:sz w:val="22"/>
          <w:szCs w:val="22"/>
        </w:rPr>
        <w:t>Sustainable practice requires skills that support psychological flexibility, emotional regulation and values-based decision-making.</w:t>
      </w:r>
      <w:r w:rsidR="00FE124A" w:rsidRPr="00B1384B">
        <w:rPr>
          <w:sz w:val="22"/>
          <w:szCs w:val="22"/>
        </w:rPr>
        <w:t xml:space="preserve"> </w:t>
      </w:r>
    </w:p>
    <w:p w14:paraId="15C3B173" w14:textId="19DC356E" w:rsidR="00A67E1A" w:rsidRPr="004271FD" w:rsidRDefault="005E6CB0" w:rsidP="00BF4E99">
      <w:pPr>
        <w:rPr>
          <w:sz w:val="22"/>
          <w:szCs w:val="22"/>
        </w:rPr>
      </w:pPr>
      <w:r w:rsidRPr="005E6CB0">
        <w:rPr>
          <w:b/>
          <w:bCs/>
          <w:sz w:val="22"/>
          <w:szCs w:val="22"/>
        </w:rPr>
        <w:t>This is not a wellness retreat.</w:t>
      </w:r>
      <w:r w:rsidR="00256CAC" w:rsidRPr="00B1384B">
        <w:rPr>
          <w:sz w:val="22"/>
          <w:szCs w:val="22"/>
        </w:rPr>
        <w:t xml:space="preserve">  </w:t>
      </w:r>
      <w:r w:rsidRPr="005E6CB0">
        <w:rPr>
          <w:sz w:val="22"/>
          <w:szCs w:val="22"/>
        </w:rPr>
        <w:t>It is structured professional development designed to support sustainable clinical practice, effective decision-making and professional longevity.</w:t>
      </w:r>
    </w:p>
    <w:p w14:paraId="562B782D" w14:textId="41347D9C" w:rsidR="00BF4E99" w:rsidRPr="00BF4E99" w:rsidRDefault="00BF4E99" w:rsidP="00BF4E99">
      <w:pPr>
        <w:rPr>
          <w:b/>
          <w:bCs/>
        </w:rPr>
      </w:pPr>
      <w:r w:rsidRPr="04023483">
        <w:rPr>
          <w:b/>
          <w:bCs/>
          <w:sz w:val="26"/>
          <w:szCs w:val="26"/>
        </w:rPr>
        <w:t>Key Learning Outcomes and Program Content</w:t>
      </w:r>
    </w:p>
    <w:p w14:paraId="24D9CC50" w14:textId="027B5C5F" w:rsidR="00BF4E99" w:rsidRPr="00BF4E99" w:rsidRDefault="00BF4E99" w:rsidP="00BF4E99">
      <w:pPr>
        <w:rPr>
          <w:sz w:val="22"/>
          <w:szCs w:val="22"/>
        </w:rPr>
      </w:pPr>
      <w:r w:rsidRPr="00BF4E99">
        <w:rPr>
          <w:sz w:val="22"/>
          <w:szCs w:val="22"/>
        </w:rPr>
        <w:t>The program combines evidence-based psychological approaches, experiential learning, and structured reflective practice.</w:t>
      </w:r>
      <w:r w:rsidR="00F34FA7" w:rsidRPr="00B1384B">
        <w:rPr>
          <w:sz w:val="22"/>
          <w:szCs w:val="22"/>
        </w:rPr>
        <w:t xml:space="preserve">  </w:t>
      </w:r>
      <w:r w:rsidRPr="00BF4E99">
        <w:rPr>
          <w:sz w:val="22"/>
          <w:szCs w:val="22"/>
        </w:rPr>
        <w:t>Participants will:</w:t>
      </w:r>
    </w:p>
    <w:p w14:paraId="527FE9C2" w14:textId="080DEBCE" w:rsidR="00BF4E99" w:rsidRPr="00BF4E99" w:rsidRDefault="00BF4E99" w:rsidP="00E75A2F">
      <w:pPr>
        <w:numPr>
          <w:ilvl w:val="0"/>
          <w:numId w:val="22"/>
        </w:numPr>
        <w:spacing w:after="0"/>
        <w:rPr>
          <w:sz w:val="22"/>
          <w:szCs w:val="22"/>
        </w:rPr>
      </w:pPr>
      <w:r w:rsidRPr="00BF4E99">
        <w:rPr>
          <w:sz w:val="22"/>
          <w:szCs w:val="22"/>
        </w:rPr>
        <w:t>Learn practical</w:t>
      </w:r>
      <w:r w:rsidR="00C34CFB" w:rsidRPr="00B1384B">
        <w:rPr>
          <w:sz w:val="22"/>
          <w:szCs w:val="22"/>
        </w:rPr>
        <w:t xml:space="preserve"> emotion regulation and stress management</w:t>
      </w:r>
      <w:r w:rsidRPr="00BF4E99">
        <w:rPr>
          <w:sz w:val="22"/>
          <w:szCs w:val="22"/>
        </w:rPr>
        <w:t xml:space="preserve"> tools </w:t>
      </w:r>
      <w:r w:rsidR="00C34CFB" w:rsidRPr="00B1384B">
        <w:rPr>
          <w:sz w:val="22"/>
          <w:szCs w:val="22"/>
        </w:rPr>
        <w:t>for</w:t>
      </w:r>
      <w:r w:rsidRPr="00BF4E99">
        <w:rPr>
          <w:sz w:val="22"/>
          <w:szCs w:val="22"/>
        </w:rPr>
        <w:t xml:space="preserve"> high-acuity clinical </w:t>
      </w:r>
      <w:r w:rsidR="00BB21D0" w:rsidRPr="00B1384B">
        <w:rPr>
          <w:sz w:val="22"/>
          <w:szCs w:val="22"/>
        </w:rPr>
        <w:t>environments</w:t>
      </w:r>
    </w:p>
    <w:p w14:paraId="1037A95F" w14:textId="191BF283" w:rsidR="00BF4E99" w:rsidRPr="00BF4E99" w:rsidRDefault="00BF4E99" w:rsidP="00E75A2F">
      <w:pPr>
        <w:numPr>
          <w:ilvl w:val="0"/>
          <w:numId w:val="22"/>
        </w:numPr>
        <w:spacing w:after="0"/>
        <w:rPr>
          <w:sz w:val="22"/>
          <w:szCs w:val="22"/>
        </w:rPr>
      </w:pPr>
      <w:r w:rsidRPr="00BF4E99">
        <w:rPr>
          <w:sz w:val="22"/>
          <w:szCs w:val="22"/>
        </w:rPr>
        <w:t xml:space="preserve">Apply ACT-informed strategies to address burnout, moral distress, and enhance psychological flexibility </w:t>
      </w:r>
    </w:p>
    <w:p w14:paraId="42695896" w14:textId="0337D746" w:rsidR="00BF4E99" w:rsidRPr="00BF4E99" w:rsidRDefault="00BF4E99" w:rsidP="00E75A2F">
      <w:pPr>
        <w:numPr>
          <w:ilvl w:val="0"/>
          <w:numId w:val="22"/>
        </w:numPr>
        <w:spacing w:after="0"/>
        <w:rPr>
          <w:sz w:val="22"/>
          <w:szCs w:val="22"/>
        </w:rPr>
      </w:pPr>
      <w:r w:rsidRPr="00BF4E99">
        <w:rPr>
          <w:sz w:val="22"/>
          <w:szCs w:val="22"/>
        </w:rPr>
        <w:t xml:space="preserve">Reflect on professional boundaries, responsibility, and ethical decision-making </w:t>
      </w:r>
    </w:p>
    <w:p w14:paraId="30ABF517" w14:textId="45400D82" w:rsidR="00F34FA7" w:rsidRPr="00B1384B" w:rsidRDefault="00BF4E99" w:rsidP="00E75A2F">
      <w:pPr>
        <w:numPr>
          <w:ilvl w:val="0"/>
          <w:numId w:val="22"/>
        </w:numPr>
        <w:spacing w:after="0"/>
        <w:rPr>
          <w:sz w:val="22"/>
          <w:szCs w:val="22"/>
        </w:rPr>
      </w:pPr>
      <w:r w:rsidRPr="00BF4E99">
        <w:rPr>
          <w:sz w:val="22"/>
          <w:szCs w:val="22"/>
        </w:rPr>
        <w:t>Participate in small-group EMDR sessions, designed to reduce the impact of vicarious trauma and occupational stress</w:t>
      </w:r>
    </w:p>
    <w:p w14:paraId="453DEB45" w14:textId="77BE603F" w:rsidR="00BF4E99" w:rsidRPr="00BF4E99" w:rsidRDefault="00BF4E99" w:rsidP="00E75A2F">
      <w:pPr>
        <w:numPr>
          <w:ilvl w:val="0"/>
          <w:numId w:val="22"/>
        </w:numPr>
        <w:spacing w:after="0"/>
        <w:rPr>
          <w:sz w:val="22"/>
          <w:szCs w:val="22"/>
        </w:rPr>
      </w:pPr>
      <w:r w:rsidRPr="00BF4E99">
        <w:rPr>
          <w:sz w:val="22"/>
          <w:szCs w:val="22"/>
        </w:rPr>
        <w:t>Engage in peer discussion and expert dialogue to translate</w:t>
      </w:r>
      <w:r w:rsidR="00D846A4">
        <w:rPr>
          <w:sz w:val="22"/>
          <w:szCs w:val="22"/>
        </w:rPr>
        <w:t xml:space="preserve"> learning into clinical practice</w:t>
      </w:r>
    </w:p>
    <w:p w14:paraId="1F17612D" w14:textId="77777777" w:rsidR="00D846A4" w:rsidRDefault="00BF4E99" w:rsidP="00A208F4">
      <w:pPr>
        <w:numPr>
          <w:ilvl w:val="0"/>
          <w:numId w:val="22"/>
        </w:numPr>
        <w:spacing w:after="0"/>
        <w:rPr>
          <w:b/>
          <w:bCs/>
          <w:sz w:val="22"/>
          <w:szCs w:val="22"/>
        </w:rPr>
      </w:pPr>
      <w:r w:rsidRPr="00BF4E99">
        <w:rPr>
          <w:sz w:val="22"/>
          <w:szCs w:val="22"/>
        </w:rPr>
        <w:t>Develop a personalised resilience and professional sustainability</w:t>
      </w:r>
      <w:r w:rsidR="00EA3336" w:rsidRPr="00D846A4">
        <w:rPr>
          <w:sz w:val="22"/>
          <w:szCs w:val="22"/>
        </w:rPr>
        <w:t xml:space="preserve"> (self-care)</w:t>
      </w:r>
      <w:r w:rsidRPr="00BF4E99">
        <w:rPr>
          <w:sz w:val="22"/>
          <w:szCs w:val="22"/>
        </w:rPr>
        <w:t xml:space="preserve"> plan </w:t>
      </w:r>
    </w:p>
    <w:p w14:paraId="63FF8C83" w14:textId="77777777" w:rsidR="00D846A4" w:rsidRDefault="00D846A4" w:rsidP="00D846A4">
      <w:pPr>
        <w:spacing w:after="0"/>
        <w:rPr>
          <w:b/>
          <w:bCs/>
          <w:sz w:val="22"/>
          <w:szCs w:val="22"/>
        </w:rPr>
      </w:pPr>
    </w:p>
    <w:p w14:paraId="2E4D78D3" w14:textId="5EF7D051" w:rsidR="00A208F4" w:rsidRPr="00F2455F" w:rsidRDefault="00A208F4" w:rsidP="04023483">
      <w:pPr>
        <w:spacing w:after="0"/>
        <w:rPr>
          <w:b/>
          <w:bCs/>
          <w:sz w:val="26"/>
          <w:szCs w:val="26"/>
        </w:rPr>
      </w:pPr>
      <w:r w:rsidRPr="04023483">
        <w:rPr>
          <w:b/>
          <w:bCs/>
          <w:sz w:val="26"/>
          <w:szCs w:val="26"/>
        </w:rPr>
        <w:t>Program Structure</w:t>
      </w:r>
    </w:p>
    <w:p w14:paraId="274C116A" w14:textId="77777777" w:rsidR="00A208F4" w:rsidRPr="00F2455F" w:rsidRDefault="00A208F4" w:rsidP="00E75A2F">
      <w:pPr>
        <w:numPr>
          <w:ilvl w:val="0"/>
          <w:numId w:val="13"/>
        </w:numPr>
        <w:spacing w:after="0" w:line="240" w:lineRule="auto"/>
        <w:rPr>
          <w:sz w:val="22"/>
          <w:szCs w:val="22"/>
        </w:rPr>
      </w:pPr>
      <w:r w:rsidRPr="00F2455F">
        <w:rPr>
          <w:sz w:val="22"/>
          <w:szCs w:val="22"/>
        </w:rPr>
        <w:t>Morning: Intensive workshops and practical skills</w:t>
      </w:r>
      <w:r w:rsidRPr="00B1384B">
        <w:rPr>
          <w:sz w:val="22"/>
          <w:szCs w:val="22"/>
        </w:rPr>
        <w:t>-based learning</w:t>
      </w:r>
    </w:p>
    <w:p w14:paraId="2C44D9C3" w14:textId="77777777" w:rsidR="00A208F4" w:rsidRPr="00F2455F" w:rsidRDefault="00A208F4" w:rsidP="00E75A2F">
      <w:pPr>
        <w:numPr>
          <w:ilvl w:val="0"/>
          <w:numId w:val="13"/>
        </w:numPr>
        <w:spacing w:after="0" w:line="240" w:lineRule="auto"/>
        <w:rPr>
          <w:sz w:val="22"/>
          <w:szCs w:val="22"/>
        </w:rPr>
      </w:pPr>
      <w:r w:rsidRPr="00F2455F">
        <w:rPr>
          <w:sz w:val="22"/>
          <w:szCs w:val="22"/>
        </w:rPr>
        <w:t>Midday: Integration, reflection, peer discussion, journaling</w:t>
      </w:r>
    </w:p>
    <w:p w14:paraId="680EFF2D" w14:textId="29D167CF" w:rsidR="00D846A4" w:rsidRPr="00D846A4" w:rsidRDefault="00A208F4" w:rsidP="00D846A4">
      <w:pPr>
        <w:numPr>
          <w:ilvl w:val="0"/>
          <w:numId w:val="13"/>
        </w:numPr>
        <w:spacing w:after="0" w:line="240" w:lineRule="auto"/>
        <w:rPr>
          <w:sz w:val="22"/>
          <w:szCs w:val="22"/>
        </w:rPr>
      </w:pPr>
      <w:r w:rsidRPr="00F2455F">
        <w:rPr>
          <w:sz w:val="22"/>
          <w:szCs w:val="22"/>
        </w:rPr>
        <w:t xml:space="preserve">Afternoon: </w:t>
      </w:r>
      <w:r w:rsidR="00B1384B">
        <w:rPr>
          <w:sz w:val="22"/>
          <w:szCs w:val="22"/>
        </w:rPr>
        <w:t>I</w:t>
      </w:r>
      <w:r w:rsidRPr="00B1384B">
        <w:rPr>
          <w:sz w:val="22"/>
          <w:szCs w:val="22"/>
        </w:rPr>
        <w:t>ntegration and reflection; self-care practice and facilitated discussion</w:t>
      </w:r>
    </w:p>
    <w:p w14:paraId="621BC2FA" w14:textId="77777777" w:rsidR="00D846A4" w:rsidRPr="00D846A4" w:rsidRDefault="00D846A4" w:rsidP="00D846A4">
      <w:pPr>
        <w:spacing w:after="0" w:line="240" w:lineRule="auto"/>
        <w:ind w:left="720"/>
        <w:rPr>
          <w:sz w:val="22"/>
          <w:szCs w:val="22"/>
        </w:rPr>
      </w:pPr>
    </w:p>
    <w:p w14:paraId="4B412BF5" w14:textId="3DA1A1E0" w:rsidR="17686006" w:rsidRDefault="00A208F4" w:rsidP="17686006">
      <w:pPr>
        <w:rPr>
          <w:sz w:val="22"/>
          <w:szCs w:val="22"/>
        </w:rPr>
      </w:pPr>
      <w:r w:rsidRPr="04023483">
        <w:rPr>
          <w:b/>
          <w:bCs/>
          <w:sz w:val="26"/>
          <w:szCs w:val="26"/>
        </w:rPr>
        <w:t>Total Training Hours</w:t>
      </w:r>
      <w:r w:rsidRPr="04023483">
        <w:rPr>
          <w:sz w:val="26"/>
          <w:szCs w:val="26"/>
        </w:rPr>
        <w:t>:</w:t>
      </w:r>
      <w:r w:rsidRPr="04023483">
        <w:rPr>
          <w:sz w:val="22"/>
          <w:szCs w:val="22"/>
        </w:rPr>
        <w:t xml:space="preserve"> 20 hours of formal, workshop-based training</w:t>
      </w:r>
      <w:r w:rsidR="00772941" w:rsidRPr="04023483">
        <w:rPr>
          <w:sz w:val="22"/>
          <w:szCs w:val="22"/>
        </w:rPr>
        <w:t>; 12 hours integrative</w:t>
      </w:r>
      <w:r w:rsidR="004271FD">
        <w:rPr>
          <w:sz w:val="22"/>
          <w:szCs w:val="22"/>
        </w:rPr>
        <w:t>/</w:t>
      </w:r>
      <w:r w:rsidR="00772941" w:rsidRPr="04023483">
        <w:rPr>
          <w:sz w:val="22"/>
          <w:szCs w:val="22"/>
        </w:rPr>
        <w:t>reflective practice</w:t>
      </w:r>
    </w:p>
    <w:p w14:paraId="782FB8CF" w14:textId="4916902E" w:rsidR="0000671B" w:rsidRPr="0000671B" w:rsidRDefault="0000671B" w:rsidP="17686006">
      <w:pPr>
        <w:rPr>
          <w:sz w:val="22"/>
          <w:szCs w:val="22"/>
        </w:rPr>
      </w:pPr>
      <w:r w:rsidRPr="004B4A99">
        <w:rPr>
          <w:sz w:val="22"/>
          <w:szCs w:val="22"/>
        </w:rPr>
        <w:t>Documentation of CPD hours and activity types is provided to support professional CPD logging.</w:t>
      </w:r>
    </w:p>
    <w:p w14:paraId="2C118447" w14:textId="5039A9FC" w:rsidR="00E36CD6" w:rsidRPr="00B1384B" w:rsidRDefault="00A67E1A" w:rsidP="00E36CD6">
      <w:pPr>
        <w:rPr>
          <w:sz w:val="22"/>
          <w:szCs w:val="22"/>
        </w:rPr>
      </w:pPr>
      <w:r w:rsidRPr="04023483">
        <w:rPr>
          <w:b/>
          <w:bCs/>
          <w:sz w:val="26"/>
          <w:szCs w:val="26"/>
        </w:rPr>
        <w:t>Informal Learning and Reflection Sessions</w:t>
      </w:r>
      <w:r>
        <w:br/>
      </w:r>
      <w:r w:rsidRPr="04023483">
        <w:rPr>
          <w:sz w:val="22"/>
          <w:szCs w:val="22"/>
        </w:rPr>
        <w:t xml:space="preserve">Participants engage in facilitated informal conversations throughout the retreat – during meals, activities, and designated reflection periods. </w:t>
      </w:r>
      <w:r w:rsidR="00E36CD6" w:rsidRPr="04023483">
        <w:rPr>
          <w:sz w:val="22"/>
          <w:szCs w:val="22"/>
        </w:rPr>
        <w:t>These allow participants to:</w:t>
      </w:r>
    </w:p>
    <w:p w14:paraId="2A871799" w14:textId="2B14091A" w:rsidR="00A67E1A" w:rsidRPr="002F0FA6" w:rsidRDefault="00E36CD6" w:rsidP="0035754C">
      <w:pPr>
        <w:numPr>
          <w:ilvl w:val="0"/>
          <w:numId w:val="20"/>
        </w:numPr>
        <w:spacing w:after="0" w:line="240" w:lineRule="auto"/>
        <w:rPr>
          <w:sz w:val="22"/>
          <w:szCs w:val="22"/>
        </w:rPr>
      </w:pPr>
      <w:r w:rsidRPr="00B1384B">
        <w:rPr>
          <w:sz w:val="22"/>
          <w:szCs w:val="22"/>
        </w:rPr>
        <w:t>Consolidate work</w:t>
      </w:r>
      <w:r w:rsidR="0035754C">
        <w:rPr>
          <w:sz w:val="22"/>
          <w:szCs w:val="22"/>
        </w:rPr>
        <w:t>shop</w:t>
      </w:r>
      <w:r w:rsidRPr="00B1384B">
        <w:rPr>
          <w:sz w:val="22"/>
          <w:szCs w:val="22"/>
        </w:rPr>
        <w:t xml:space="preserve"> learning</w:t>
      </w:r>
      <w:r w:rsidR="0035754C">
        <w:rPr>
          <w:sz w:val="22"/>
          <w:szCs w:val="22"/>
        </w:rPr>
        <w:t xml:space="preserve"> and explore applications in clinical environments</w:t>
      </w:r>
    </w:p>
    <w:p w14:paraId="1BA11E61" w14:textId="77777777" w:rsidR="00A67E1A" w:rsidRPr="002F0FA6" w:rsidRDefault="00A67E1A" w:rsidP="00567E9E">
      <w:pPr>
        <w:numPr>
          <w:ilvl w:val="0"/>
          <w:numId w:val="20"/>
        </w:numPr>
        <w:spacing w:after="0" w:line="240" w:lineRule="auto"/>
        <w:rPr>
          <w:sz w:val="22"/>
          <w:szCs w:val="22"/>
        </w:rPr>
      </w:pPr>
      <w:r w:rsidRPr="00B1384B">
        <w:rPr>
          <w:sz w:val="22"/>
          <w:szCs w:val="22"/>
        </w:rPr>
        <w:t>Encourage reflection on</w:t>
      </w:r>
      <w:r w:rsidRPr="002F0FA6">
        <w:rPr>
          <w:sz w:val="22"/>
          <w:szCs w:val="22"/>
        </w:rPr>
        <w:t xml:space="preserve"> professional</w:t>
      </w:r>
      <w:r w:rsidRPr="00B1384B">
        <w:rPr>
          <w:sz w:val="22"/>
          <w:szCs w:val="22"/>
        </w:rPr>
        <w:t xml:space="preserve"> values</w:t>
      </w:r>
      <w:r w:rsidRPr="002F0FA6">
        <w:rPr>
          <w:sz w:val="22"/>
          <w:szCs w:val="22"/>
        </w:rPr>
        <w:t>,</w:t>
      </w:r>
      <w:r w:rsidRPr="00B1384B">
        <w:rPr>
          <w:sz w:val="22"/>
          <w:szCs w:val="22"/>
        </w:rPr>
        <w:t xml:space="preserve"> boundaries</w:t>
      </w:r>
      <w:r w:rsidRPr="002F0FA6">
        <w:rPr>
          <w:sz w:val="22"/>
          <w:szCs w:val="22"/>
        </w:rPr>
        <w:t xml:space="preserve"> and </w:t>
      </w:r>
      <w:r w:rsidRPr="00B1384B">
        <w:rPr>
          <w:sz w:val="22"/>
          <w:szCs w:val="22"/>
        </w:rPr>
        <w:t>ethical dilemmas</w:t>
      </w:r>
    </w:p>
    <w:p w14:paraId="0F1721E5" w14:textId="77777777" w:rsidR="00A67E1A" w:rsidRPr="002F0FA6" w:rsidRDefault="00A67E1A" w:rsidP="00567E9E">
      <w:pPr>
        <w:numPr>
          <w:ilvl w:val="0"/>
          <w:numId w:val="20"/>
        </w:numPr>
        <w:spacing w:after="0" w:line="240" w:lineRule="auto"/>
        <w:rPr>
          <w:sz w:val="22"/>
          <w:szCs w:val="22"/>
        </w:rPr>
      </w:pPr>
      <w:r w:rsidRPr="00B1384B">
        <w:rPr>
          <w:sz w:val="22"/>
          <w:szCs w:val="22"/>
        </w:rPr>
        <w:t>Foster experiential learning and peer-supported problem solving</w:t>
      </w:r>
    </w:p>
    <w:p w14:paraId="36EF842F" w14:textId="3AD111EC" w:rsidR="004271FD" w:rsidRDefault="004271FD" w:rsidP="005F0DAE">
      <w:pPr>
        <w:rPr>
          <w:b/>
          <w:bCs/>
          <w:sz w:val="26"/>
          <w:szCs w:val="26"/>
        </w:rPr>
      </w:pPr>
    </w:p>
    <w:p w14:paraId="5A377B32" w14:textId="77777777" w:rsidR="0000671B" w:rsidRDefault="0000671B" w:rsidP="005F0DAE">
      <w:pPr>
        <w:rPr>
          <w:b/>
          <w:bCs/>
          <w:sz w:val="26"/>
          <w:szCs w:val="26"/>
        </w:rPr>
      </w:pPr>
    </w:p>
    <w:p w14:paraId="06C2C455" w14:textId="77777777" w:rsidR="0000671B" w:rsidRDefault="0000671B" w:rsidP="005F0DAE">
      <w:pPr>
        <w:rPr>
          <w:b/>
          <w:bCs/>
          <w:sz w:val="26"/>
          <w:szCs w:val="26"/>
        </w:rPr>
      </w:pPr>
    </w:p>
    <w:p w14:paraId="22D0BACA" w14:textId="78F2A6C0" w:rsidR="004271FD" w:rsidRDefault="005124E6" w:rsidP="005F0DAE">
      <w:pPr>
        <w:rPr>
          <w:b/>
          <w:bCs/>
          <w:sz w:val="26"/>
          <w:szCs w:val="26"/>
        </w:rPr>
      </w:pPr>
      <w:r w:rsidRPr="00295291">
        <w:rPr>
          <w:b/>
          <w:bCs/>
          <w:sz w:val="26"/>
          <w:szCs w:val="26"/>
        </w:rPr>
        <w:t xml:space="preserve">CME/CPD </w:t>
      </w:r>
      <w:r w:rsidR="00C87EF6" w:rsidRPr="00295291">
        <w:rPr>
          <w:b/>
          <w:bCs/>
          <w:sz w:val="26"/>
          <w:szCs w:val="26"/>
        </w:rPr>
        <w:t>Alignment to professional standards</w:t>
      </w:r>
    </w:p>
    <w:p w14:paraId="72942AC9" w14:textId="3BD62EDD" w:rsidR="005F0DAE" w:rsidRDefault="003D083B" w:rsidP="005F0DAE">
      <w:pPr>
        <w:rPr>
          <w:sz w:val="22"/>
          <w:szCs w:val="22"/>
        </w:rPr>
      </w:pPr>
      <w:r w:rsidRPr="00B1384B">
        <w:rPr>
          <w:i/>
          <w:iCs/>
          <w:sz w:val="22"/>
          <w:szCs w:val="22"/>
        </w:rPr>
        <w:t>Resilience in Practice</w:t>
      </w:r>
      <w:r w:rsidRPr="00B1384B">
        <w:rPr>
          <w:sz w:val="22"/>
          <w:szCs w:val="22"/>
        </w:rPr>
        <w:t xml:space="preserve"> </w:t>
      </w:r>
      <w:r w:rsidR="002E09DA" w:rsidRPr="00B1384B">
        <w:rPr>
          <w:sz w:val="22"/>
          <w:szCs w:val="22"/>
        </w:rPr>
        <w:t xml:space="preserve">has been designed to align with the CPD frameworks used by Psychology </w:t>
      </w:r>
      <w:r w:rsidR="00295291">
        <w:rPr>
          <w:sz w:val="22"/>
          <w:szCs w:val="22"/>
        </w:rPr>
        <w:t>bodies (PBA, AHPRA, APS</w:t>
      </w:r>
      <w:r w:rsidR="00BE2F0C">
        <w:rPr>
          <w:sz w:val="22"/>
          <w:szCs w:val="22"/>
        </w:rPr>
        <w:t xml:space="preserve"> etc.)</w:t>
      </w:r>
      <w:r w:rsidR="002E09DA" w:rsidRPr="00B1384B">
        <w:rPr>
          <w:sz w:val="22"/>
          <w:szCs w:val="22"/>
        </w:rPr>
        <w:t xml:space="preserve"> and the Australian </w:t>
      </w:r>
      <w:r w:rsidR="00C87EF6" w:rsidRPr="00B1384B">
        <w:rPr>
          <w:sz w:val="22"/>
          <w:szCs w:val="22"/>
        </w:rPr>
        <w:t>M</w:t>
      </w:r>
      <w:r w:rsidR="002E09DA" w:rsidRPr="00B1384B">
        <w:rPr>
          <w:sz w:val="22"/>
          <w:szCs w:val="22"/>
        </w:rPr>
        <w:t xml:space="preserve">edical </w:t>
      </w:r>
      <w:r w:rsidR="00C87EF6" w:rsidRPr="00B1384B">
        <w:rPr>
          <w:sz w:val="22"/>
          <w:szCs w:val="22"/>
        </w:rPr>
        <w:t>C</w:t>
      </w:r>
      <w:r w:rsidR="002E09DA" w:rsidRPr="00B1384B">
        <w:rPr>
          <w:sz w:val="22"/>
          <w:szCs w:val="22"/>
        </w:rPr>
        <w:t>ollege</w:t>
      </w:r>
      <w:r w:rsidR="00BE2F0C">
        <w:rPr>
          <w:sz w:val="22"/>
          <w:szCs w:val="22"/>
        </w:rPr>
        <w:t>s</w:t>
      </w:r>
      <w:r w:rsidR="00C87EF6" w:rsidRPr="00B1384B">
        <w:rPr>
          <w:sz w:val="22"/>
          <w:szCs w:val="22"/>
        </w:rPr>
        <w:t xml:space="preserve"> requirements</w:t>
      </w:r>
      <w:r w:rsidR="005F0DAE">
        <w:rPr>
          <w:sz w:val="22"/>
          <w:szCs w:val="22"/>
        </w:rPr>
        <w:t xml:space="preserve">, including </w:t>
      </w:r>
    </w:p>
    <w:p w14:paraId="62CD8698" w14:textId="7FB58AA0" w:rsidR="006F521C" w:rsidRPr="005F0DAE" w:rsidRDefault="006F521C" w:rsidP="005F0DAE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5F0DAE">
        <w:rPr>
          <w:i/>
          <w:iCs/>
          <w:sz w:val="22"/>
          <w:szCs w:val="22"/>
        </w:rPr>
        <w:t xml:space="preserve">Knowledge and Skills Development:  </w:t>
      </w:r>
      <w:r w:rsidRPr="005F0DAE">
        <w:rPr>
          <w:sz w:val="22"/>
          <w:szCs w:val="22"/>
        </w:rPr>
        <w:t>Evidence-based workshops introducing ACT-informed resilience strategies, emotional regulation tools and trauma-informed approaches to occupational stress.</w:t>
      </w:r>
    </w:p>
    <w:p w14:paraId="01B15D99" w14:textId="55209AF6" w:rsidR="006F521C" w:rsidRPr="00772941" w:rsidRDefault="006F521C" w:rsidP="00772941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772941">
        <w:rPr>
          <w:i/>
          <w:iCs/>
          <w:sz w:val="22"/>
          <w:szCs w:val="22"/>
        </w:rPr>
        <w:t>Reflective Practice</w:t>
      </w:r>
      <w:r w:rsidRPr="00772941">
        <w:rPr>
          <w:sz w:val="22"/>
          <w:szCs w:val="22"/>
        </w:rPr>
        <w:t>:  Facilitated discussion, structured reflection and guided journalling on professional decision-making and workplace challenges.</w:t>
      </w:r>
    </w:p>
    <w:p w14:paraId="0C606B09" w14:textId="50898C75" w:rsidR="006F521C" w:rsidRPr="00772941" w:rsidRDefault="006F521C" w:rsidP="00772941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772941">
        <w:rPr>
          <w:i/>
          <w:iCs/>
          <w:sz w:val="22"/>
          <w:szCs w:val="22"/>
        </w:rPr>
        <w:t xml:space="preserve">Peer Consultation:  </w:t>
      </w:r>
      <w:r w:rsidRPr="00772941">
        <w:rPr>
          <w:sz w:val="22"/>
          <w:szCs w:val="22"/>
        </w:rPr>
        <w:t>Small-group discussion and optional post-retreat supervision support collaborative learning and professional reflection.</w:t>
      </w:r>
    </w:p>
    <w:p w14:paraId="770D4C9C" w14:textId="7F7BC88A" w:rsidR="00873F61" w:rsidRPr="00772941" w:rsidRDefault="00873F61" w:rsidP="00772941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772941">
        <w:rPr>
          <w:i/>
          <w:iCs/>
          <w:sz w:val="22"/>
          <w:szCs w:val="22"/>
        </w:rPr>
        <w:t xml:space="preserve">Measuring Outcomes:  </w:t>
      </w:r>
      <w:r w:rsidRPr="00772941">
        <w:rPr>
          <w:sz w:val="22"/>
          <w:szCs w:val="22"/>
        </w:rPr>
        <w:t xml:space="preserve">Application of </w:t>
      </w:r>
      <w:r w:rsidR="0017116C" w:rsidRPr="00772941">
        <w:rPr>
          <w:sz w:val="22"/>
          <w:szCs w:val="22"/>
        </w:rPr>
        <w:t>evidence-based measures to clinical practice (self-compassion, burnout etc); Evaluation of changes in practice over time</w:t>
      </w:r>
      <w:r w:rsidR="009545A5" w:rsidRPr="00772941">
        <w:rPr>
          <w:sz w:val="22"/>
          <w:szCs w:val="22"/>
        </w:rPr>
        <w:t>;</w:t>
      </w:r>
    </w:p>
    <w:p w14:paraId="69F6F171" w14:textId="4B16AA61" w:rsidR="006F521C" w:rsidRPr="00772941" w:rsidRDefault="006F521C" w:rsidP="00772941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772941">
        <w:rPr>
          <w:i/>
          <w:iCs/>
          <w:sz w:val="22"/>
          <w:szCs w:val="22"/>
        </w:rPr>
        <w:t>Application to Practice</w:t>
      </w:r>
      <w:r w:rsidRPr="00772941">
        <w:rPr>
          <w:sz w:val="22"/>
          <w:szCs w:val="22"/>
        </w:rPr>
        <w:t>:  Participants develop a personalised professional sustainability plan and identify strategies for implementing learning within their clinical environments.</w:t>
      </w:r>
    </w:p>
    <w:p w14:paraId="1893B41B" w14:textId="1EE9556F" w:rsidR="009545A5" w:rsidRDefault="009545A5" w:rsidP="00772941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772941">
        <w:rPr>
          <w:i/>
          <w:iCs/>
          <w:sz w:val="22"/>
          <w:szCs w:val="22"/>
        </w:rPr>
        <w:t xml:space="preserve">Cultural safety and ethical practice: </w:t>
      </w:r>
      <w:r w:rsidRPr="00772941">
        <w:rPr>
          <w:sz w:val="22"/>
          <w:szCs w:val="22"/>
        </w:rPr>
        <w:t>Discussions, workshops on cultural considerations for self-care and application to clinical environments; ethical practice in professional boundaries</w:t>
      </w:r>
    </w:p>
    <w:p w14:paraId="0C34FAC2" w14:textId="77777777" w:rsidR="00022E9E" w:rsidRDefault="00022E9E" w:rsidP="00022E9E">
      <w:pPr>
        <w:spacing w:before="240" w:after="0"/>
        <w:rPr>
          <w:b/>
          <w:bCs/>
          <w:sz w:val="28"/>
          <w:szCs w:val="28"/>
          <w:u w:val="single"/>
        </w:rPr>
      </w:pPr>
      <w:r w:rsidRPr="00904FF7">
        <w:rPr>
          <w:b/>
          <w:bCs/>
          <w:sz w:val="28"/>
          <w:szCs w:val="28"/>
          <w:u w:val="single"/>
        </w:rPr>
        <w:t>Retreat Costs</w:t>
      </w:r>
      <w:r>
        <w:rPr>
          <w:b/>
          <w:bCs/>
          <w:sz w:val="28"/>
          <w:szCs w:val="28"/>
          <w:u w:val="single"/>
        </w:rPr>
        <w:t xml:space="preserve"> per Person</w:t>
      </w:r>
    </w:p>
    <w:p w14:paraId="678489CA" w14:textId="77777777" w:rsidR="00022E9E" w:rsidRPr="00522EC4" w:rsidRDefault="00022E9E" w:rsidP="00022E9E">
      <w:pPr>
        <w:spacing w:after="0"/>
        <w:rPr>
          <w:sz w:val="26"/>
          <w:szCs w:val="26"/>
        </w:rPr>
      </w:pPr>
      <w:r w:rsidRPr="00522EC4">
        <w:rPr>
          <w:b/>
          <w:bCs/>
          <w:sz w:val="26"/>
          <w:szCs w:val="26"/>
        </w:rPr>
        <w:t>Total Cost:</w:t>
      </w:r>
      <w:r w:rsidRPr="00522EC4">
        <w:rPr>
          <w:sz w:val="26"/>
          <w:szCs w:val="26"/>
        </w:rPr>
        <w:t xml:space="preserve">  Private Chalet:  $5,395 + GST.</w:t>
      </w:r>
      <w:r w:rsidRPr="00522EC4">
        <w:rPr>
          <w:sz w:val="26"/>
          <w:szCs w:val="26"/>
        </w:rPr>
        <w:tab/>
        <w:t xml:space="preserve">   |      Shared Chalet:  $4,950 + GST</w:t>
      </w:r>
    </w:p>
    <w:p w14:paraId="62A6F5C1" w14:textId="77777777" w:rsidR="00022E9E" w:rsidRPr="00EA65C6" w:rsidRDefault="00022E9E" w:rsidP="00022E9E">
      <w:pPr>
        <w:spacing w:after="0"/>
      </w:pPr>
      <w:r w:rsidRPr="00EA65C6">
        <w:t xml:space="preserve">Payment is due in 3 instalments to reduce budget pressure. </w:t>
      </w:r>
    </w:p>
    <w:p w14:paraId="3A2ED21E" w14:textId="77777777" w:rsidR="00022E9E" w:rsidRDefault="00022E9E" w:rsidP="00022E9E">
      <w:pPr>
        <w:spacing w:after="0"/>
        <w:rPr>
          <w:sz w:val="22"/>
          <w:szCs w:val="22"/>
        </w:rPr>
      </w:pPr>
      <w:r>
        <w:rPr>
          <w:sz w:val="22"/>
          <w:szCs w:val="22"/>
        </w:rPr>
        <w:t>Please contact starlinghc.com.au if this payment schedule does not align with Department budget allocations.</w:t>
      </w:r>
    </w:p>
    <w:tbl>
      <w:tblPr>
        <w:tblpPr w:leftFromText="180" w:rightFromText="180" w:vertAnchor="text" w:horzAnchor="margin" w:tblpY="191"/>
        <w:tblW w:w="10561" w:type="dxa"/>
        <w:tblCellSpacing w:w="1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4"/>
        <w:gridCol w:w="2133"/>
        <w:gridCol w:w="1842"/>
        <w:gridCol w:w="2127"/>
        <w:gridCol w:w="2205"/>
      </w:tblGrid>
      <w:tr w:rsidR="00022E9E" w:rsidRPr="00B0698C" w14:paraId="1BE69F90" w14:textId="77777777" w:rsidTr="00A716F2">
        <w:trPr>
          <w:trHeight w:val="707"/>
          <w:tblHeader/>
          <w:tblCellSpacing w:w="15" w:type="dxa"/>
        </w:trPr>
        <w:tc>
          <w:tcPr>
            <w:tcW w:w="2209" w:type="dxa"/>
            <w:vAlign w:val="center"/>
            <w:hideMark/>
          </w:tcPr>
          <w:p w14:paraId="313F9D0B" w14:textId="77777777" w:rsidR="00022E9E" w:rsidRPr="001F1B39" w:rsidRDefault="00022E9E" w:rsidP="00A716F2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1F1B39">
              <w:rPr>
                <w:b/>
                <w:bCs/>
                <w:sz w:val="26"/>
                <w:szCs w:val="26"/>
              </w:rPr>
              <w:t>Accommodation Options</w:t>
            </w:r>
            <w:r>
              <w:rPr>
                <w:b/>
                <w:bCs/>
                <w:sz w:val="26"/>
                <w:szCs w:val="26"/>
              </w:rPr>
              <w:t>*</w:t>
            </w:r>
            <w:r w:rsidRPr="001F1B39">
              <w:rPr>
                <w:b/>
                <w:bCs/>
                <w:sz w:val="26"/>
                <w:szCs w:val="26"/>
              </w:rPr>
              <w:t xml:space="preserve">   </w:t>
            </w:r>
          </w:p>
        </w:tc>
        <w:tc>
          <w:tcPr>
            <w:tcW w:w="2103" w:type="dxa"/>
            <w:vAlign w:val="center"/>
            <w:hideMark/>
          </w:tcPr>
          <w:p w14:paraId="70788828" w14:textId="77777777" w:rsidR="00022E9E" w:rsidRPr="001F1B39" w:rsidRDefault="00022E9E" w:rsidP="00A716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F1B39">
              <w:rPr>
                <w:b/>
                <w:bCs/>
                <w:sz w:val="26"/>
                <w:szCs w:val="26"/>
              </w:rPr>
              <w:t>Early Bird</w:t>
            </w:r>
            <w:r>
              <w:rPr>
                <w:b/>
                <w:bCs/>
                <w:sz w:val="26"/>
                <w:szCs w:val="26"/>
              </w:rPr>
              <w:t xml:space="preserve"> Deposit</w:t>
            </w:r>
            <w:r w:rsidRPr="001F1B39">
              <w:rPr>
                <w:b/>
                <w:bCs/>
                <w:sz w:val="26"/>
                <w:szCs w:val="26"/>
              </w:rPr>
              <w:t xml:space="preserve"> (</w:t>
            </w:r>
            <w:r>
              <w:rPr>
                <w:b/>
                <w:bCs/>
                <w:sz w:val="26"/>
                <w:szCs w:val="26"/>
              </w:rPr>
              <w:t>before</w:t>
            </w:r>
            <w:r w:rsidRPr="001F1B39">
              <w:rPr>
                <w:b/>
                <w:bCs/>
                <w:sz w:val="26"/>
                <w:szCs w:val="26"/>
              </w:rPr>
              <w:t xml:space="preserve"> 31/3/26)</w:t>
            </w:r>
          </w:p>
        </w:tc>
        <w:tc>
          <w:tcPr>
            <w:tcW w:w="1812" w:type="dxa"/>
            <w:vAlign w:val="center"/>
            <w:hideMark/>
          </w:tcPr>
          <w:p w14:paraId="5B0C6C94" w14:textId="77777777" w:rsidR="00022E9E" w:rsidRDefault="00022E9E" w:rsidP="00A716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Deposit</w:t>
            </w:r>
          </w:p>
          <w:p w14:paraId="06AE41F6" w14:textId="77777777" w:rsidR="00022E9E" w:rsidRPr="001F1B39" w:rsidRDefault="00022E9E" w:rsidP="00A716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(after 31/3)</w:t>
            </w:r>
          </w:p>
        </w:tc>
        <w:tc>
          <w:tcPr>
            <w:tcW w:w="2097" w:type="dxa"/>
          </w:tcPr>
          <w:p w14:paraId="662525D3" w14:textId="77777777" w:rsidR="00022E9E" w:rsidRDefault="00022E9E" w:rsidP="00A716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Payment 2</w:t>
            </w:r>
          </w:p>
          <w:p w14:paraId="3A28F6FB" w14:textId="77777777" w:rsidR="00022E9E" w:rsidRPr="009D0E33" w:rsidRDefault="00022E9E" w:rsidP="00A716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Due week 4/5/26</w:t>
            </w:r>
          </w:p>
        </w:tc>
        <w:tc>
          <w:tcPr>
            <w:tcW w:w="2160" w:type="dxa"/>
          </w:tcPr>
          <w:p w14:paraId="5097C12A" w14:textId="77777777" w:rsidR="00022E9E" w:rsidRDefault="00022E9E" w:rsidP="00A716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Payment 3</w:t>
            </w:r>
          </w:p>
          <w:p w14:paraId="68DA5B1F" w14:textId="77777777" w:rsidR="00022E9E" w:rsidRPr="009D0E33" w:rsidRDefault="00022E9E" w:rsidP="00A716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D0E33">
              <w:rPr>
                <w:sz w:val="26"/>
                <w:szCs w:val="26"/>
              </w:rPr>
              <w:t>Due 9/8/26</w:t>
            </w:r>
          </w:p>
        </w:tc>
      </w:tr>
      <w:tr w:rsidR="00022E9E" w:rsidRPr="00B0698C" w14:paraId="50C98D41" w14:textId="77777777" w:rsidTr="00A716F2">
        <w:trPr>
          <w:trHeight w:val="363"/>
          <w:tblCellSpacing w:w="15" w:type="dxa"/>
        </w:trPr>
        <w:tc>
          <w:tcPr>
            <w:tcW w:w="2209" w:type="dxa"/>
            <w:vAlign w:val="center"/>
            <w:hideMark/>
          </w:tcPr>
          <w:p w14:paraId="79840EFB" w14:textId="77777777" w:rsidR="00022E9E" w:rsidRPr="00D5740F" w:rsidRDefault="00022E9E" w:rsidP="00A716F2">
            <w:pPr>
              <w:spacing w:after="0" w:line="240" w:lineRule="auto"/>
              <w:rPr>
                <w:sz w:val="26"/>
                <w:szCs w:val="26"/>
              </w:rPr>
            </w:pPr>
            <w:r w:rsidRPr="00D5740F">
              <w:rPr>
                <w:sz w:val="26"/>
                <w:szCs w:val="26"/>
              </w:rPr>
              <w:t xml:space="preserve"> Shared Chalet</w:t>
            </w:r>
          </w:p>
        </w:tc>
        <w:tc>
          <w:tcPr>
            <w:tcW w:w="2103" w:type="dxa"/>
            <w:vAlign w:val="center"/>
            <w:hideMark/>
          </w:tcPr>
          <w:p w14:paraId="5A3FB1D0" w14:textId="77777777" w:rsidR="00022E9E" w:rsidRPr="00D5740F" w:rsidRDefault="00022E9E" w:rsidP="00A716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5740F">
              <w:rPr>
                <w:sz w:val="26"/>
                <w:szCs w:val="26"/>
              </w:rPr>
              <w:t>$250</w:t>
            </w:r>
            <w:r w:rsidRPr="00D5740F">
              <w:rPr>
                <w:rFonts w:eastAsia="Aptos Narrow" w:cs="Aptos Narro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Aptos Narrow" w:cs="Aptos Narrow"/>
                <w:color w:val="000000" w:themeColor="text1"/>
                <w:sz w:val="26"/>
                <w:szCs w:val="26"/>
              </w:rPr>
              <w:t>incl GST</w:t>
            </w:r>
          </w:p>
        </w:tc>
        <w:tc>
          <w:tcPr>
            <w:tcW w:w="1812" w:type="dxa"/>
            <w:vAlign w:val="center"/>
            <w:hideMark/>
          </w:tcPr>
          <w:p w14:paraId="58955180" w14:textId="77777777" w:rsidR="00022E9E" w:rsidRPr="00D5740F" w:rsidRDefault="00022E9E" w:rsidP="00A716F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D5740F">
              <w:rPr>
                <w:sz w:val="26"/>
                <w:szCs w:val="26"/>
              </w:rPr>
              <w:t>$</w:t>
            </w:r>
            <w:r>
              <w:rPr>
                <w:sz w:val="26"/>
                <w:szCs w:val="26"/>
              </w:rPr>
              <w:t>500</w:t>
            </w:r>
            <w:r w:rsidRPr="00D5740F">
              <w:rPr>
                <w:rFonts w:eastAsia="Aptos Narrow" w:cs="Aptos Narro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Aptos Narrow" w:cs="Aptos Narrow"/>
                <w:color w:val="000000" w:themeColor="text1"/>
                <w:sz w:val="26"/>
                <w:szCs w:val="26"/>
              </w:rPr>
              <w:t>incl GST</w:t>
            </w:r>
          </w:p>
        </w:tc>
        <w:tc>
          <w:tcPr>
            <w:tcW w:w="2097" w:type="dxa"/>
          </w:tcPr>
          <w:p w14:paraId="73648CA4" w14:textId="77777777" w:rsidR="00022E9E" w:rsidRPr="00D5740F" w:rsidRDefault="00022E9E" w:rsidP="00A716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$835 incl GST</w:t>
            </w:r>
          </w:p>
        </w:tc>
        <w:tc>
          <w:tcPr>
            <w:tcW w:w="2160" w:type="dxa"/>
          </w:tcPr>
          <w:p w14:paraId="7374540E" w14:textId="77777777" w:rsidR="00022E9E" w:rsidRPr="00D5740F" w:rsidRDefault="00022E9E" w:rsidP="00A716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$4110 incl GST</w:t>
            </w:r>
          </w:p>
        </w:tc>
      </w:tr>
      <w:tr w:rsidR="00022E9E" w:rsidRPr="00B0698C" w14:paraId="73CF2652" w14:textId="77777777" w:rsidTr="00A716F2">
        <w:trPr>
          <w:trHeight w:val="313"/>
          <w:tblCellSpacing w:w="15" w:type="dxa"/>
        </w:trPr>
        <w:tc>
          <w:tcPr>
            <w:tcW w:w="2209" w:type="dxa"/>
            <w:vAlign w:val="center"/>
            <w:hideMark/>
          </w:tcPr>
          <w:p w14:paraId="5F3CCD4E" w14:textId="77777777" w:rsidR="00022E9E" w:rsidRPr="00D5740F" w:rsidRDefault="00022E9E" w:rsidP="00A716F2">
            <w:pPr>
              <w:spacing w:after="0" w:line="240" w:lineRule="auto"/>
              <w:rPr>
                <w:sz w:val="26"/>
                <w:szCs w:val="26"/>
              </w:rPr>
            </w:pPr>
            <w:r w:rsidRPr="00D5740F">
              <w:rPr>
                <w:sz w:val="26"/>
                <w:szCs w:val="26"/>
              </w:rPr>
              <w:t xml:space="preserve">Private Chalet </w:t>
            </w:r>
          </w:p>
        </w:tc>
        <w:tc>
          <w:tcPr>
            <w:tcW w:w="2103" w:type="dxa"/>
            <w:vAlign w:val="center"/>
            <w:hideMark/>
          </w:tcPr>
          <w:p w14:paraId="3A9D093F" w14:textId="77777777" w:rsidR="00022E9E" w:rsidRPr="00D5740F" w:rsidRDefault="00022E9E" w:rsidP="00A716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5740F">
              <w:rPr>
                <w:sz w:val="26"/>
                <w:szCs w:val="26"/>
              </w:rPr>
              <w:t>$250</w:t>
            </w:r>
            <w:r w:rsidRPr="00D5740F">
              <w:rPr>
                <w:rFonts w:eastAsia="Aptos Narrow" w:cs="Aptos Narro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Aptos Narrow" w:cs="Aptos Narrow"/>
                <w:color w:val="000000" w:themeColor="text1"/>
                <w:sz w:val="26"/>
                <w:szCs w:val="26"/>
              </w:rPr>
              <w:t>incl GST</w:t>
            </w:r>
          </w:p>
        </w:tc>
        <w:tc>
          <w:tcPr>
            <w:tcW w:w="1812" w:type="dxa"/>
            <w:vAlign w:val="center"/>
            <w:hideMark/>
          </w:tcPr>
          <w:p w14:paraId="35787C8C" w14:textId="77777777" w:rsidR="00022E9E" w:rsidRPr="00D5740F" w:rsidRDefault="00022E9E" w:rsidP="00A716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5740F">
              <w:rPr>
                <w:sz w:val="26"/>
                <w:szCs w:val="26"/>
              </w:rPr>
              <w:t>$</w:t>
            </w:r>
            <w:r>
              <w:rPr>
                <w:sz w:val="26"/>
                <w:szCs w:val="26"/>
              </w:rPr>
              <w:t>500</w:t>
            </w:r>
            <w:r w:rsidRPr="00D5740F">
              <w:rPr>
                <w:rFonts w:eastAsia="Aptos Narrow" w:cs="Aptos Narro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Aptos Narrow" w:cs="Aptos Narrow"/>
                <w:color w:val="000000" w:themeColor="text1"/>
                <w:sz w:val="26"/>
                <w:szCs w:val="26"/>
              </w:rPr>
              <w:t>incl GST</w:t>
            </w:r>
          </w:p>
        </w:tc>
        <w:tc>
          <w:tcPr>
            <w:tcW w:w="2097" w:type="dxa"/>
          </w:tcPr>
          <w:p w14:paraId="6A4EC559" w14:textId="77777777" w:rsidR="00022E9E" w:rsidRPr="00D5740F" w:rsidRDefault="00022E9E" w:rsidP="00A716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$1300 incl GST</w:t>
            </w:r>
          </w:p>
        </w:tc>
        <w:tc>
          <w:tcPr>
            <w:tcW w:w="2160" w:type="dxa"/>
          </w:tcPr>
          <w:p w14:paraId="6AF5D3E7" w14:textId="77777777" w:rsidR="00022E9E" w:rsidRPr="00D5740F" w:rsidRDefault="00022E9E" w:rsidP="00A716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$4134.50 incl GST</w:t>
            </w:r>
          </w:p>
        </w:tc>
      </w:tr>
    </w:tbl>
    <w:p w14:paraId="6C39F66D" w14:textId="27215FBC" w:rsidR="00CD7418" w:rsidRPr="00CD7418" w:rsidRDefault="00CD7418" w:rsidP="00CD7418">
      <w:pPr>
        <w:rPr>
          <w:sz w:val="22"/>
          <w:szCs w:val="22"/>
        </w:rPr>
      </w:pPr>
      <w:r w:rsidRPr="00B74715">
        <w:rPr>
          <w:sz w:val="22"/>
          <w:szCs w:val="22"/>
        </w:rPr>
        <w:t>*</w:t>
      </w:r>
      <w:r>
        <w:rPr>
          <w:sz w:val="22"/>
          <w:szCs w:val="22"/>
        </w:rPr>
        <w:t>2-bed chalets s</w:t>
      </w:r>
      <w:r w:rsidRPr="00B74715">
        <w:rPr>
          <w:sz w:val="22"/>
          <w:szCs w:val="22"/>
        </w:rPr>
        <w:t>ubject to availability</w:t>
      </w:r>
    </w:p>
    <w:p w14:paraId="4F73B1CF" w14:textId="67636C2D" w:rsidR="007244FA" w:rsidRPr="004B0625" w:rsidRDefault="00B0698C" w:rsidP="007244FA">
      <w:pPr>
        <w:spacing w:after="0"/>
        <w:rPr>
          <w:sz w:val="22"/>
          <w:szCs w:val="22"/>
        </w:rPr>
      </w:pPr>
      <w:r w:rsidRPr="00B0698C">
        <w:rPr>
          <w:b/>
          <w:bCs/>
          <w:sz w:val="22"/>
          <w:szCs w:val="22"/>
        </w:rPr>
        <w:t>Exclusions:</w:t>
      </w:r>
      <w:r w:rsidRPr="00B0698C">
        <w:rPr>
          <w:sz w:val="22"/>
          <w:szCs w:val="22"/>
        </w:rPr>
        <w:t xml:space="preserve"> Travel to/from Margaret River, transfers (except specified pick-ups), travel insurance</w:t>
      </w:r>
    </w:p>
    <w:p w14:paraId="360C7AD6" w14:textId="77777777" w:rsidR="007244FA" w:rsidRPr="007244FA" w:rsidRDefault="007244FA" w:rsidP="007244FA">
      <w:pPr>
        <w:spacing w:after="0"/>
        <w:rPr>
          <w:b/>
          <w:bCs/>
          <w:sz w:val="26"/>
          <w:szCs w:val="26"/>
        </w:rPr>
      </w:pPr>
    </w:p>
    <w:p w14:paraId="65192E22" w14:textId="0CF8A495" w:rsidR="00B64DB9" w:rsidRPr="00F2455F" w:rsidRDefault="00C84BBD" w:rsidP="00B64DB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Clinical </w:t>
      </w:r>
      <w:r w:rsidR="00B64DB9" w:rsidRPr="00F2455F">
        <w:rPr>
          <w:b/>
          <w:bCs/>
          <w:sz w:val="28"/>
          <w:szCs w:val="28"/>
          <w:u w:val="single"/>
        </w:rPr>
        <w:t xml:space="preserve">Supervision </w:t>
      </w:r>
      <w:r>
        <w:rPr>
          <w:b/>
          <w:bCs/>
          <w:sz w:val="28"/>
          <w:szCs w:val="28"/>
          <w:u w:val="single"/>
        </w:rPr>
        <w:t>(</w:t>
      </w:r>
      <w:r w:rsidR="00B64DB9" w:rsidRPr="00F2455F">
        <w:rPr>
          <w:b/>
          <w:bCs/>
          <w:sz w:val="28"/>
          <w:szCs w:val="28"/>
          <w:u w:val="single"/>
        </w:rPr>
        <w:t>Add-On</w:t>
      </w:r>
      <w:r>
        <w:rPr>
          <w:b/>
          <w:bCs/>
          <w:sz w:val="28"/>
          <w:szCs w:val="28"/>
          <w:u w:val="single"/>
        </w:rPr>
        <w:t>)</w:t>
      </w:r>
    </w:p>
    <w:p w14:paraId="120BC74A" w14:textId="076D4DC9" w:rsidR="00B64DB9" w:rsidRPr="00F2455F" w:rsidRDefault="00B64DB9" w:rsidP="00B64DB9">
      <w:pPr>
        <w:rPr>
          <w:sz w:val="22"/>
          <w:szCs w:val="22"/>
        </w:rPr>
      </w:pPr>
      <w:r w:rsidRPr="00B1384B">
        <w:rPr>
          <w:sz w:val="22"/>
          <w:szCs w:val="22"/>
        </w:rPr>
        <w:t xml:space="preserve">Using adult and experiential learning frameworks (e.g. Kolb; Schon), this </w:t>
      </w:r>
      <w:r w:rsidRPr="00F2455F">
        <w:rPr>
          <w:sz w:val="22"/>
          <w:szCs w:val="22"/>
        </w:rPr>
        <w:t>6-month facilitated online peer supervision (</w:t>
      </w:r>
      <w:r w:rsidR="001803F4">
        <w:rPr>
          <w:sz w:val="22"/>
          <w:szCs w:val="22"/>
        </w:rPr>
        <w:t xml:space="preserve">1x </w:t>
      </w:r>
      <w:r w:rsidRPr="00F2455F">
        <w:rPr>
          <w:sz w:val="22"/>
          <w:szCs w:val="22"/>
        </w:rPr>
        <w:t>60–90 min</w:t>
      </w:r>
      <w:r w:rsidR="001803F4">
        <w:rPr>
          <w:sz w:val="22"/>
          <w:szCs w:val="22"/>
        </w:rPr>
        <w:t xml:space="preserve"> session per </w:t>
      </w:r>
      <w:r w:rsidRPr="00F2455F">
        <w:rPr>
          <w:sz w:val="22"/>
          <w:szCs w:val="22"/>
        </w:rPr>
        <w:t>month)</w:t>
      </w:r>
      <w:r w:rsidR="001803F4">
        <w:rPr>
          <w:sz w:val="22"/>
          <w:szCs w:val="22"/>
        </w:rPr>
        <w:t xml:space="preserve"> is</w:t>
      </w:r>
      <w:r w:rsidRPr="00B1384B">
        <w:rPr>
          <w:sz w:val="22"/>
          <w:szCs w:val="22"/>
        </w:rPr>
        <w:t xml:space="preserve"> design</w:t>
      </w:r>
      <w:r w:rsidR="001803F4">
        <w:rPr>
          <w:sz w:val="22"/>
          <w:szCs w:val="22"/>
        </w:rPr>
        <w:t>ed</w:t>
      </w:r>
      <w:r w:rsidRPr="00B1384B">
        <w:rPr>
          <w:sz w:val="22"/>
          <w:szCs w:val="22"/>
        </w:rPr>
        <w:t xml:space="preserve"> to support implementation and sustained changes </w:t>
      </w:r>
      <w:r w:rsidR="001803F4">
        <w:rPr>
          <w:sz w:val="22"/>
          <w:szCs w:val="22"/>
        </w:rPr>
        <w:t xml:space="preserve">to practice </w:t>
      </w:r>
      <w:r w:rsidR="008932FC">
        <w:rPr>
          <w:sz w:val="22"/>
          <w:szCs w:val="22"/>
        </w:rPr>
        <w:t xml:space="preserve">and wellbeing that were </w:t>
      </w:r>
      <w:r w:rsidRPr="00B1384B">
        <w:rPr>
          <w:sz w:val="22"/>
          <w:szCs w:val="22"/>
        </w:rPr>
        <w:t>introduced during the retreat.</w:t>
      </w:r>
      <w:r w:rsidR="008932FC">
        <w:rPr>
          <w:sz w:val="22"/>
          <w:szCs w:val="22"/>
        </w:rPr>
        <w:t xml:space="preserve">  The reflective practice sessions:</w:t>
      </w:r>
    </w:p>
    <w:p w14:paraId="51DC70F9" w14:textId="218D28A5" w:rsidR="00B64DB9" w:rsidRPr="00671754" w:rsidRDefault="00B64DB9" w:rsidP="00671754">
      <w:pPr>
        <w:numPr>
          <w:ilvl w:val="0"/>
          <w:numId w:val="15"/>
        </w:numPr>
        <w:spacing w:after="0"/>
        <w:rPr>
          <w:sz w:val="22"/>
          <w:szCs w:val="22"/>
        </w:rPr>
      </w:pPr>
      <w:r w:rsidRPr="00F2455F">
        <w:rPr>
          <w:sz w:val="22"/>
          <w:szCs w:val="22"/>
        </w:rPr>
        <w:t>Consolidate retreat learning</w:t>
      </w:r>
      <w:r w:rsidR="0000671B">
        <w:rPr>
          <w:sz w:val="22"/>
          <w:szCs w:val="22"/>
        </w:rPr>
        <w:t xml:space="preserve">, </w:t>
      </w:r>
      <w:r w:rsidRPr="00F2455F">
        <w:rPr>
          <w:sz w:val="22"/>
          <w:szCs w:val="22"/>
        </w:rPr>
        <w:t>supports real-world application</w:t>
      </w:r>
      <w:r w:rsidR="0000671B">
        <w:rPr>
          <w:sz w:val="22"/>
          <w:szCs w:val="22"/>
        </w:rPr>
        <w:t xml:space="preserve">, </w:t>
      </w:r>
      <w:r w:rsidRPr="00671754">
        <w:rPr>
          <w:sz w:val="22"/>
          <w:szCs w:val="22"/>
        </w:rPr>
        <w:t>reflective practice and peer consultation</w:t>
      </w:r>
    </w:p>
    <w:p w14:paraId="47096E25" w14:textId="77777777" w:rsidR="00671754" w:rsidRPr="0000671B" w:rsidRDefault="00681D4C" w:rsidP="00985BA8">
      <w:pPr>
        <w:numPr>
          <w:ilvl w:val="0"/>
          <w:numId w:val="15"/>
        </w:numPr>
        <w:spacing w:after="0"/>
        <w:rPr>
          <w:sz w:val="26"/>
          <w:szCs w:val="26"/>
        </w:rPr>
      </w:pPr>
      <w:r w:rsidRPr="00671754">
        <w:rPr>
          <w:sz w:val="22"/>
          <w:szCs w:val="22"/>
        </w:rPr>
        <w:t xml:space="preserve">Provide </w:t>
      </w:r>
      <w:r w:rsidR="00B64DB9" w:rsidRPr="00671754">
        <w:rPr>
          <w:sz w:val="22"/>
          <w:szCs w:val="22"/>
        </w:rPr>
        <w:t xml:space="preserve">a </w:t>
      </w:r>
      <w:r w:rsidRPr="00671754">
        <w:rPr>
          <w:sz w:val="22"/>
          <w:szCs w:val="22"/>
        </w:rPr>
        <w:t>C</w:t>
      </w:r>
      <w:r w:rsidR="00B64DB9" w:rsidRPr="00671754">
        <w:rPr>
          <w:sz w:val="22"/>
          <w:szCs w:val="22"/>
        </w:rPr>
        <w:t xml:space="preserve">ommunity of </w:t>
      </w:r>
      <w:r w:rsidRPr="00671754">
        <w:rPr>
          <w:sz w:val="22"/>
          <w:szCs w:val="22"/>
        </w:rPr>
        <w:t>P</w:t>
      </w:r>
      <w:r w:rsidR="00B64DB9" w:rsidRPr="00671754">
        <w:rPr>
          <w:sz w:val="22"/>
          <w:szCs w:val="22"/>
        </w:rPr>
        <w:t>ractice to support accountability and reduce professional isolation</w:t>
      </w:r>
      <w:r w:rsidRPr="00671754">
        <w:rPr>
          <w:sz w:val="22"/>
          <w:szCs w:val="22"/>
        </w:rPr>
        <w:t xml:space="preserve"> – a key factor in the reduction of burnout.</w:t>
      </w:r>
    </w:p>
    <w:p w14:paraId="717B5F46" w14:textId="77777777" w:rsidR="0000671B" w:rsidRPr="00671754" w:rsidRDefault="0000671B" w:rsidP="0000671B">
      <w:pPr>
        <w:spacing w:after="0"/>
        <w:ind w:left="720"/>
        <w:rPr>
          <w:sz w:val="26"/>
          <w:szCs w:val="26"/>
        </w:rPr>
      </w:pPr>
    </w:p>
    <w:p w14:paraId="635593EF" w14:textId="03C8BD0E" w:rsidR="00B64DB9" w:rsidRPr="00671754" w:rsidRDefault="00B64DB9" w:rsidP="00671754">
      <w:pPr>
        <w:spacing w:after="0"/>
        <w:rPr>
          <w:sz w:val="26"/>
          <w:szCs w:val="26"/>
        </w:rPr>
      </w:pPr>
      <w:r w:rsidRPr="00671754">
        <w:rPr>
          <w:b/>
          <w:bCs/>
          <w:sz w:val="26"/>
          <w:szCs w:val="26"/>
        </w:rPr>
        <w:t>Investment</w:t>
      </w:r>
      <w:r w:rsidRPr="00671754">
        <w:rPr>
          <w:sz w:val="26"/>
          <w:szCs w:val="26"/>
        </w:rPr>
        <w:t>: $1</w:t>
      </w:r>
      <w:r w:rsidR="004302AE" w:rsidRPr="00671754">
        <w:rPr>
          <w:sz w:val="26"/>
          <w:szCs w:val="26"/>
        </w:rPr>
        <w:t>1</w:t>
      </w:r>
      <w:r w:rsidRPr="00671754">
        <w:rPr>
          <w:sz w:val="26"/>
          <w:szCs w:val="26"/>
        </w:rPr>
        <w:t>00</w:t>
      </w:r>
      <w:r w:rsidR="004302AE" w:rsidRPr="00671754">
        <w:rPr>
          <w:sz w:val="26"/>
          <w:szCs w:val="26"/>
        </w:rPr>
        <w:t xml:space="preserve"> (excluding GST)</w:t>
      </w:r>
      <w:r w:rsidRPr="00671754">
        <w:rPr>
          <w:sz w:val="26"/>
          <w:szCs w:val="26"/>
        </w:rPr>
        <w:t xml:space="preserve"> for 6 sessions</w:t>
      </w:r>
      <w:r w:rsidRPr="00671754">
        <w:rPr>
          <w:sz w:val="26"/>
          <w:szCs w:val="26"/>
        </w:rPr>
        <w:br/>
      </w:r>
      <w:r w:rsidRPr="00671754">
        <w:rPr>
          <w:b/>
          <w:bCs/>
          <w:sz w:val="26"/>
          <w:szCs w:val="26"/>
        </w:rPr>
        <w:t>Retreat Add-On:</w:t>
      </w:r>
      <w:r w:rsidRPr="00671754">
        <w:rPr>
          <w:sz w:val="26"/>
          <w:szCs w:val="26"/>
        </w:rPr>
        <w:t xml:space="preserve"> $</w:t>
      </w:r>
      <w:r w:rsidR="004302AE" w:rsidRPr="00671754">
        <w:rPr>
          <w:sz w:val="26"/>
          <w:szCs w:val="26"/>
        </w:rPr>
        <w:t>900 (excluding GST)</w:t>
      </w:r>
      <w:r w:rsidRPr="00671754">
        <w:rPr>
          <w:sz w:val="26"/>
          <w:szCs w:val="26"/>
        </w:rPr>
        <w:t xml:space="preserve"> if booked with retreat (save $200).</w:t>
      </w:r>
    </w:p>
    <w:p w14:paraId="0E5EED36" w14:textId="43A2D89C" w:rsidR="00FA27CE" w:rsidRPr="000C427C" w:rsidRDefault="00B0698C" w:rsidP="00985BA8">
      <w:r w:rsidRPr="000C427C">
        <w:rPr>
          <w:b/>
          <w:bCs/>
        </w:rPr>
        <w:t>Contact:</w:t>
      </w:r>
      <w:r w:rsidRPr="000C427C">
        <w:t xml:space="preserve"> Starling Health Collective | starlinghc@outlook.com | </w:t>
      </w:r>
      <w:r w:rsidR="004302AE">
        <w:t>www.starlinghc.com.au</w:t>
      </w:r>
    </w:p>
    <w:sectPr w:rsidR="00FA27CE" w:rsidRPr="000C427C" w:rsidSect="00B64DB9">
      <w:headerReference w:type="default" r:id="rId7"/>
      <w:pgSz w:w="11906" w:h="16838"/>
      <w:pgMar w:top="720" w:right="720" w:bottom="720" w:left="720" w:header="567" w:footer="39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E00BF" w14:textId="77777777" w:rsidR="0067661C" w:rsidRDefault="0067661C" w:rsidP="00574C6C">
      <w:pPr>
        <w:spacing w:after="0" w:line="240" w:lineRule="auto"/>
      </w:pPr>
      <w:r>
        <w:separator/>
      </w:r>
    </w:p>
  </w:endnote>
  <w:endnote w:type="continuationSeparator" w:id="0">
    <w:p w14:paraId="5D5E60EC" w14:textId="77777777" w:rsidR="0067661C" w:rsidRDefault="0067661C" w:rsidP="0057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E9D61" w14:textId="77777777" w:rsidR="0067661C" w:rsidRDefault="0067661C" w:rsidP="00574C6C">
      <w:pPr>
        <w:spacing w:after="0" w:line="240" w:lineRule="auto"/>
      </w:pPr>
      <w:r>
        <w:separator/>
      </w:r>
    </w:p>
  </w:footnote>
  <w:footnote w:type="continuationSeparator" w:id="0">
    <w:p w14:paraId="3959C333" w14:textId="77777777" w:rsidR="0067661C" w:rsidRDefault="0067661C" w:rsidP="00574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05E8" w14:textId="5E2DABA3" w:rsidR="00D265DD" w:rsidRPr="00B1384B" w:rsidRDefault="00D265DD" w:rsidP="04023483">
    <w:pPr>
      <w:spacing w:after="0"/>
      <w:jc w:val="center"/>
      <w:rPr>
        <w:rFonts w:ascii="Bierstadt" w:hAnsi="Bierstadt"/>
        <w:b/>
        <w:bCs/>
        <w:color w:val="996633"/>
        <w:sz w:val="32"/>
        <w:szCs w:val="32"/>
      </w:rPr>
    </w:pPr>
    <w:r w:rsidRPr="00B1384B">
      <w:rPr>
        <w:rFonts w:ascii="Bierstadt" w:hAnsi="Bierstadt"/>
        <w:b/>
        <w:bCs/>
        <w:noProof/>
        <w:color w:val="996633"/>
        <w:sz w:val="32"/>
        <w:szCs w:val="32"/>
      </w:rPr>
      <w:drawing>
        <wp:anchor distT="0" distB="0" distL="114300" distR="114300" simplePos="0" relativeHeight="251658240" behindDoc="0" locked="0" layoutInCell="1" allowOverlap="1" wp14:anchorId="6A65E31E" wp14:editId="5824A635">
          <wp:simplePos x="0" y="0"/>
          <wp:positionH relativeFrom="margin">
            <wp:align>left</wp:align>
          </wp:positionH>
          <wp:positionV relativeFrom="page">
            <wp:posOffset>365223</wp:posOffset>
          </wp:positionV>
          <wp:extent cx="640080" cy="640080"/>
          <wp:effectExtent l="0" t="0" r="7620" b="7620"/>
          <wp:wrapNone/>
          <wp:docPr id="18459312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836776" name="Picture 34883677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4023483" w:rsidRPr="00B1384B">
      <w:rPr>
        <w:rFonts w:ascii="Bierstadt" w:hAnsi="Bierstadt"/>
        <w:b/>
        <w:bCs/>
        <w:color w:val="996633"/>
        <w:sz w:val="32"/>
        <w:szCs w:val="32"/>
      </w:rPr>
      <w:t>Starling Health Collective</w:t>
    </w:r>
  </w:p>
  <w:p w14:paraId="1B96B033" w14:textId="050D33C4" w:rsidR="00D265DD" w:rsidRPr="00B1384B" w:rsidRDefault="04023483" w:rsidP="04023483">
    <w:pPr>
      <w:spacing w:after="0"/>
      <w:jc w:val="center"/>
      <w:rPr>
        <w:rFonts w:ascii="Bierstadt" w:hAnsi="Bierstadt"/>
        <w:b/>
        <w:bCs/>
        <w:color w:val="996633"/>
        <w:sz w:val="32"/>
        <w:szCs w:val="32"/>
      </w:rPr>
    </w:pPr>
    <w:r w:rsidRPr="04023483">
      <w:rPr>
        <w:rFonts w:ascii="Bierstadt" w:hAnsi="Bierstadt"/>
        <w:b/>
        <w:bCs/>
        <w:color w:val="996633"/>
        <w:sz w:val="32"/>
        <w:szCs w:val="32"/>
      </w:rPr>
      <w:t>Resilience In Practice – Self Care Retreat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84F"/>
    <w:multiLevelType w:val="multilevel"/>
    <w:tmpl w:val="F756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668DE"/>
    <w:multiLevelType w:val="multilevel"/>
    <w:tmpl w:val="6AD4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207D5"/>
    <w:multiLevelType w:val="multilevel"/>
    <w:tmpl w:val="49BA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917B2"/>
    <w:multiLevelType w:val="multilevel"/>
    <w:tmpl w:val="779A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709F5"/>
    <w:multiLevelType w:val="multilevel"/>
    <w:tmpl w:val="362E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D4E2F"/>
    <w:multiLevelType w:val="hybridMultilevel"/>
    <w:tmpl w:val="60F2A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82EEF"/>
    <w:multiLevelType w:val="multilevel"/>
    <w:tmpl w:val="84E4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D52759"/>
    <w:multiLevelType w:val="multilevel"/>
    <w:tmpl w:val="71BA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7E0B7A"/>
    <w:multiLevelType w:val="multilevel"/>
    <w:tmpl w:val="EA34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342F4D"/>
    <w:multiLevelType w:val="multilevel"/>
    <w:tmpl w:val="A8CE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296DF6"/>
    <w:multiLevelType w:val="multilevel"/>
    <w:tmpl w:val="6AD4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346750"/>
    <w:multiLevelType w:val="multilevel"/>
    <w:tmpl w:val="6560B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DA051E"/>
    <w:multiLevelType w:val="multilevel"/>
    <w:tmpl w:val="F476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3D13C8"/>
    <w:multiLevelType w:val="multilevel"/>
    <w:tmpl w:val="15BA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9C2141"/>
    <w:multiLevelType w:val="multilevel"/>
    <w:tmpl w:val="CC88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692560"/>
    <w:multiLevelType w:val="hybridMultilevel"/>
    <w:tmpl w:val="0D3E45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8206D"/>
    <w:multiLevelType w:val="hybridMultilevel"/>
    <w:tmpl w:val="EE200022"/>
    <w:lvl w:ilvl="0" w:tplc="E1DA1758">
      <w:numFmt w:val="bullet"/>
      <w:lvlText w:val="-"/>
      <w:lvlJc w:val="left"/>
      <w:pPr>
        <w:ind w:left="720" w:hanging="360"/>
      </w:pPr>
      <w:rPr>
        <w:rFonts w:ascii="Bierstadt" w:eastAsiaTheme="minorHAnsi" w:hAnsi="Bierstad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514F6"/>
    <w:multiLevelType w:val="multilevel"/>
    <w:tmpl w:val="BD0C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047297"/>
    <w:multiLevelType w:val="multilevel"/>
    <w:tmpl w:val="BD82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CB72E7"/>
    <w:multiLevelType w:val="multilevel"/>
    <w:tmpl w:val="9882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634056"/>
    <w:multiLevelType w:val="hybridMultilevel"/>
    <w:tmpl w:val="786071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B754C"/>
    <w:multiLevelType w:val="multilevel"/>
    <w:tmpl w:val="8A5E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777479"/>
    <w:multiLevelType w:val="multilevel"/>
    <w:tmpl w:val="4952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197C30"/>
    <w:multiLevelType w:val="hybridMultilevel"/>
    <w:tmpl w:val="2EDE890E"/>
    <w:lvl w:ilvl="0" w:tplc="E1DA1758">
      <w:numFmt w:val="bullet"/>
      <w:lvlText w:val="-"/>
      <w:lvlJc w:val="left"/>
      <w:pPr>
        <w:ind w:left="720" w:hanging="360"/>
      </w:pPr>
      <w:rPr>
        <w:rFonts w:ascii="Bierstadt" w:eastAsiaTheme="minorHAnsi" w:hAnsi="Bierstad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21113"/>
    <w:multiLevelType w:val="hybridMultilevel"/>
    <w:tmpl w:val="4D38B008"/>
    <w:lvl w:ilvl="0" w:tplc="E1DA1758">
      <w:numFmt w:val="bullet"/>
      <w:lvlText w:val="-"/>
      <w:lvlJc w:val="left"/>
      <w:pPr>
        <w:ind w:left="720" w:hanging="360"/>
      </w:pPr>
      <w:rPr>
        <w:rFonts w:ascii="Bierstadt" w:eastAsiaTheme="minorHAnsi" w:hAnsi="Bierstad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356949">
    <w:abstractNumId w:val="22"/>
  </w:num>
  <w:num w:numId="2" w16cid:durableId="1226642839">
    <w:abstractNumId w:val="11"/>
  </w:num>
  <w:num w:numId="3" w16cid:durableId="1822572588">
    <w:abstractNumId w:val="0"/>
  </w:num>
  <w:num w:numId="4" w16cid:durableId="1655449029">
    <w:abstractNumId w:val="3"/>
  </w:num>
  <w:num w:numId="5" w16cid:durableId="638877301">
    <w:abstractNumId w:val="9"/>
  </w:num>
  <w:num w:numId="6" w16cid:durableId="1586960136">
    <w:abstractNumId w:val="4"/>
  </w:num>
  <w:num w:numId="7" w16cid:durableId="1992758517">
    <w:abstractNumId w:val="13"/>
  </w:num>
  <w:num w:numId="8" w16cid:durableId="1822649835">
    <w:abstractNumId w:val="8"/>
  </w:num>
  <w:num w:numId="9" w16cid:durableId="2134518428">
    <w:abstractNumId w:val="6"/>
  </w:num>
  <w:num w:numId="10" w16cid:durableId="1437285631">
    <w:abstractNumId w:val="18"/>
  </w:num>
  <w:num w:numId="11" w16cid:durableId="1802190082">
    <w:abstractNumId w:val="14"/>
  </w:num>
  <w:num w:numId="12" w16cid:durableId="795292350">
    <w:abstractNumId w:val="12"/>
  </w:num>
  <w:num w:numId="13" w16cid:durableId="694232362">
    <w:abstractNumId w:val="19"/>
  </w:num>
  <w:num w:numId="14" w16cid:durableId="88503401">
    <w:abstractNumId w:val="21"/>
  </w:num>
  <w:num w:numId="15" w16cid:durableId="232471567">
    <w:abstractNumId w:val="10"/>
  </w:num>
  <w:num w:numId="16" w16cid:durableId="840699727">
    <w:abstractNumId w:val="16"/>
  </w:num>
  <w:num w:numId="17" w16cid:durableId="1216889152">
    <w:abstractNumId w:val="24"/>
  </w:num>
  <w:num w:numId="18" w16cid:durableId="1192188162">
    <w:abstractNumId w:val="23"/>
  </w:num>
  <w:num w:numId="19" w16cid:durableId="1729575239">
    <w:abstractNumId w:val="20"/>
  </w:num>
  <w:num w:numId="20" w16cid:durableId="126751841">
    <w:abstractNumId w:val="17"/>
  </w:num>
  <w:num w:numId="21" w16cid:durableId="1361277532">
    <w:abstractNumId w:val="2"/>
  </w:num>
  <w:num w:numId="22" w16cid:durableId="1230266535">
    <w:abstractNumId w:val="7"/>
  </w:num>
  <w:num w:numId="23" w16cid:durableId="1937665938">
    <w:abstractNumId w:val="1"/>
  </w:num>
  <w:num w:numId="24" w16cid:durableId="1788040743">
    <w:abstractNumId w:val="15"/>
  </w:num>
  <w:num w:numId="25" w16cid:durableId="1612125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F0"/>
    <w:rsid w:val="0000671B"/>
    <w:rsid w:val="00010717"/>
    <w:rsid w:val="000218F7"/>
    <w:rsid w:val="00022E9E"/>
    <w:rsid w:val="0003169F"/>
    <w:rsid w:val="000C427C"/>
    <w:rsid w:val="000D4FDA"/>
    <w:rsid w:val="00100814"/>
    <w:rsid w:val="001252EB"/>
    <w:rsid w:val="00167EEA"/>
    <w:rsid w:val="0017116C"/>
    <w:rsid w:val="001738AF"/>
    <w:rsid w:val="001803F4"/>
    <w:rsid w:val="001940C2"/>
    <w:rsid w:val="0024100D"/>
    <w:rsid w:val="00256CAC"/>
    <w:rsid w:val="002925D0"/>
    <w:rsid w:val="0029338F"/>
    <w:rsid w:val="00295291"/>
    <w:rsid w:val="002967D5"/>
    <w:rsid w:val="002B4767"/>
    <w:rsid w:val="002E09DA"/>
    <w:rsid w:val="002F0FA6"/>
    <w:rsid w:val="0033340B"/>
    <w:rsid w:val="0035754C"/>
    <w:rsid w:val="00394B01"/>
    <w:rsid w:val="003B0289"/>
    <w:rsid w:val="003D083B"/>
    <w:rsid w:val="003D1042"/>
    <w:rsid w:val="003D210A"/>
    <w:rsid w:val="003F1683"/>
    <w:rsid w:val="003F26CE"/>
    <w:rsid w:val="003F7575"/>
    <w:rsid w:val="00400410"/>
    <w:rsid w:val="00415B09"/>
    <w:rsid w:val="004271FD"/>
    <w:rsid w:val="004302AE"/>
    <w:rsid w:val="004353A7"/>
    <w:rsid w:val="00441E4C"/>
    <w:rsid w:val="0047228D"/>
    <w:rsid w:val="00496653"/>
    <w:rsid w:val="004B0625"/>
    <w:rsid w:val="004B4A99"/>
    <w:rsid w:val="004D3EA4"/>
    <w:rsid w:val="004D5646"/>
    <w:rsid w:val="004D5FC7"/>
    <w:rsid w:val="005124E6"/>
    <w:rsid w:val="005255BB"/>
    <w:rsid w:val="00567E9E"/>
    <w:rsid w:val="005705E4"/>
    <w:rsid w:val="00574C6C"/>
    <w:rsid w:val="00575A51"/>
    <w:rsid w:val="00583D56"/>
    <w:rsid w:val="005A5C7E"/>
    <w:rsid w:val="005D10BD"/>
    <w:rsid w:val="005D2BE6"/>
    <w:rsid w:val="005D3109"/>
    <w:rsid w:val="005D6892"/>
    <w:rsid w:val="005E6CB0"/>
    <w:rsid w:val="005F0DAE"/>
    <w:rsid w:val="005F1797"/>
    <w:rsid w:val="005F1B4E"/>
    <w:rsid w:val="005F32CC"/>
    <w:rsid w:val="00624BFF"/>
    <w:rsid w:val="00630F5E"/>
    <w:rsid w:val="00631282"/>
    <w:rsid w:val="00641E12"/>
    <w:rsid w:val="00671754"/>
    <w:rsid w:val="00674345"/>
    <w:rsid w:val="0067661C"/>
    <w:rsid w:val="00677596"/>
    <w:rsid w:val="00681D4C"/>
    <w:rsid w:val="0068783F"/>
    <w:rsid w:val="006B0544"/>
    <w:rsid w:val="006D1B70"/>
    <w:rsid w:val="006F521C"/>
    <w:rsid w:val="007244FA"/>
    <w:rsid w:val="00740688"/>
    <w:rsid w:val="0074233F"/>
    <w:rsid w:val="00772941"/>
    <w:rsid w:val="00775E08"/>
    <w:rsid w:val="00776251"/>
    <w:rsid w:val="00783995"/>
    <w:rsid w:val="00785DB7"/>
    <w:rsid w:val="00791F30"/>
    <w:rsid w:val="007B0BB5"/>
    <w:rsid w:val="007B1E6C"/>
    <w:rsid w:val="007B326C"/>
    <w:rsid w:val="00844C73"/>
    <w:rsid w:val="0085280A"/>
    <w:rsid w:val="00867907"/>
    <w:rsid w:val="00873F61"/>
    <w:rsid w:val="008932FC"/>
    <w:rsid w:val="008F14F8"/>
    <w:rsid w:val="008F75CD"/>
    <w:rsid w:val="00904D41"/>
    <w:rsid w:val="00907385"/>
    <w:rsid w:val="009245F0"/>
    <w:rsid w:val="00935838"/>
    <w:rsid w:val="0093610C"/>
    <w:rsid w:val="0094310D"/>
    <w:rsid w:val="009545A5"/>
    <w:rsid w:val="00985BA8"/>
    <w:rsid w:val="0099434B"/>
    <w:rsid w:val="00996DDD"/>
    <w:rsid w:val="009A4151"/>
    <w:rsid w:val="009F48C5"/>
    <w:rsid w:val="00A0365F"/>
    <w:rsid w:val="00A208F4"/>
    <w:rsid w:val="00A67E1A"/>
    <w:rsid w:val="00A95BD6"/>
    <w:rsid w:val="00AD59CB"/>
    <w:rsid w:val="00AF1E2B"/>
    <w:rsid w:val="00B0001F"/>
    <w:rsid w:val="00B030F9"/>
    <w:rsid w:val="00B0698C"/>
    <w:rsid w:val="00B12967"/>
    <w:rsid w:val="00B1384B"/>
    <w:rsid w:val="00B55CAC"/>
    <w:rsid w:val="00B64DB9"/>
    <w:rsid w:val="00B90F05"/>
    <w:rsid w:val="00BA51D0"/>
    <w:rsid w:val="00BA7120"/>
    <w:rsid w:val="00BB21D0"/>
    <w:rsid w:val="00BE2F0C"/>
    <w:rsid w:val="00BF4E99"/>
    <w:rsid w:val="00C0012E"/>
    <w:rsid w:val="00C14CF2"/>
    <w:rsid w:val="00C232D8"/>
    <w:rsid w:val="00C34CFB"/>
    <w:rsid w:val="00C73882"/>
    <w:rsid w:val="00C75A7A"/>
    <w:rsid w:val="00C84BBD"/>
    <w:rsid w:val="00C863C1"/>
    <w:rsid w:val="00C87EF6"/>
    <w:rsid w:val="00C949E2"/>
    <w:rsid w:val="00C95B85"/>
    <w:rsid w:val="00CD1D55"/>
    <w:rsid w:val="00CD7418"/>
    <w:rsid w:val="00CF19DD"/>
    <w:rsid w:val="00CF637D"/>
    <w:rsid w:val="00D111AB"/>
    <w:rsid w:val="00D232CF"/>
    <w:rsid w:val="00D265DD"/>
    <w:rsid w:val="00D73386"/>
    <w:rsid w:val="00D846A4"/>
    <w:rsid w:val="00D90804"/>
    <w:rsid w:val="00DA01BF"/>
    <w:rsid w:val="00DA26E3"/>
    <w:rsid w:val="00DA75A5"/>
    <w:rsid w:val="00E36CD6"/>
    <w:rsid w:val="00E72811"/>
    <w:rsid w:val="00E75A2F"/>
    <w:rsid w:val="00E93EC7"/>
    <w:rsid w:val="00EA0861"/>
    <w:rsid w:val="00EA3336"/>
    <w:rsid w:val="00EA3637"/>
    <w:rsid w:val="00EA421D"/>
    <w:rsid w:val="00ED11CD"/>
    <w:rsid w:val="00F102A9"/>
    <w:rsid w:val="00F2455F"/>
    <w:rsid w:val="00F34FA7"/>
    <w:rsid w:val="00F96825"/>
    <w:rsid w:val="00FA27CE"/>
    <w:rsid w:val="00FA616C"/>
    <w:rsid w:val="00FE124A"/>
    <w:rsid w:val="04023483"/>
    <w:rsid w:val="0BAD2CFA"/>
    <w:rsid w:val="17686006"/>
    <w:rsid w:val="184AEE75"/>
    <w:rsid w:val="18C80D8B"/>
    <w:rsid w:val="309696BE"/>
    <w:rsid w:val="519327D5"/>
    <w:rsid w:val="61FFCFA9"/>
    <w:rsid w:val="6257B87C"/>
    <w:rsid w:val="686FCC59"/>
    <w:rsid w:val="6F82EE90"/>
    <w:rsid w:val="71126E09"/>
    <w:rsid w:val="74358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F2D4B"/>
  <w15:chartTrackingRefBased/>
  <w15:docId w15:val="{6C4AC0A2-E503-4FA4-A6BC-7ECADF98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5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5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5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5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5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5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5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5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5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5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5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4C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C6C"/>
  </w:style>
  <w:style w:type="paragraph" w:styleId="Footer">
    <w:name w:val="footer"/>
    <w:basedOn w:val="Normal"/>
    <w:link w:val="FooterChar"/>
    <w:uiPriority w:val="99"/>
    <w:unhideWhenUsed/>
    <w:rsid w:val="00574C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C6C"/>
  </w:style>
  <w:style w:type="paragraph" w:styleId="NormalWeb">
    <w:name w:val="Normal (Web)"/>
    <w:basedOn w:val="Normal"/>
    <w:uiPriority w:val="99"/>
    <w:semiHidden/>
    <w:unhideWhenUsed/>
    <w:rsid w:val="0062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624BFF"/>
    <w:rPr>
      <w:b/>
      <w:b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3F26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Morgan</dc:creator>
  <cp:keywords/>
  <dc:description/>
  <cp:lastModifiedBy>Alice Morgan</cp:lastModifiedBy>
  <cp:revision>2</cp:revision>
  <dcterms:created xsi:type="dcterms:W3CDTF">2026-03-09T09:31:00Z</dcterms:created>
  <dcterms:modified xsi:type="dcterms:W3CDTF">2026-03-09T09:31:00Z</dcterms:modified>
</cp:coreProperties>
</file>